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5641334A" w:rsidR="00555B03" w:rsidRPr="008644E6" w:rsidRDefault="003259BB" w:rsidP="003259BB">
      <w:pPr>
        <w:pStyle w:val="Heading1"/>
      </w:pPr>
      <w:bookmarkStart w:id="0" w:name="_Toc510607527"/>
      <w:bookmarkStart w:id="1" w:name="_GoBack"/>
      <w:bookmarkEnd w:id="1"/>
      <w:r>
        <w:t>Incident and Accident Reporting</w:t>
      </w:r>
      <w:bookmarkEnd w:id="0"/>
      <w:r>
        <w:t xml:space="preserve"> </w:t>
      </w:r>
    </w:p>
    <w:p w14:paraId="3EB93BDE" w14:textId="77777777" w:rsidR="00151BBA" w:rsidRDefault="00151BBA" w:rsidP="008644E6">
      <w:pPr>
        <w:pStyle w:val="Heading2"/>
      </w:pPr>
    </w:p>
    <w:p w14:paraId="023270D4" w14:textId="77777777" w:rsidR="00C31984" w:rsidRPr="00323B52" w:rsidRDefault="00C31984" w:rsidP="008644E6">
      <w:pPr>
        <w:pStyle w:val="Heading2"/>
        <w:rPr>
          <w:rFonts w:asciiTheme="minorHAnsi" w:hAnsiTheme="minorHAnsi"/>
          <w:sz w:val="28"/>
          <w:szCs w:val="28"/>
        </w:rPr>
      </w:pPr>
      <w:bookmarkStart w:id="2" w:name="_Toc510607528"/>
      <w:r w:rsidRPr="00323B52">
        <w:rPr>
          <w:rFonts w:asciiTheme="minorHAnsi" w:hAnsiTheme="minorHAnsi"/>
          <w:sz w:val="28"/>
          <w:szCs w:val="28"/>
        </w:rPr>
        <w:t>Pol</w:t>
      </w:r>
      <w:r w:rsidRPr="007418E1">
        <w:t>i</w:t>
      </w:r>
      <w:r w:rsidRPr="00323B52">
        <w:rPr>
          <w:rFonts w:asciiTheme="minorHAnsi" w:hAnsiTheme="minorHAnsi"/>
          <w:sz w:val="28"/>
          <w:szCs w:val="28"/>
        </w:rPr>
        <w:t>cy</w:t>
      </w:r>
      <w:bookmarkEnd w:id="2"/>
    </w:p>
    <w:p w14:paraId="0E2BA362" w14:textId="45B1406F" w:rsidR="00092C81" w:rsidRDefault="00C20438" w:rsidP="00E03182">
      <w:pPr>
        <w:rPr>
          <w:rFonts w:eastAsia="Times New Roman" w:cs="Arial"/>
          <w:szCs w:val="24"/>
          <w:lang w:val="en-US"/>
        </w:rPr>
      </w:pPr>
      <w:r w:rsidRPr="004271D8">
        <w:rPr>
          <w:rFonts w:cs="Arial"/>
          <w:i/>
          <w:szCs w:val="24"/>
        </w:rPr>
        <w:t>futures in sight</w:t>
      </w:r>
      <w:r w:rsidRPr="004271D8">
        <w:rPr>
          <w:rFonts w:cs="Arial"/>
          <w:szCs w:val="24"/>
        </w:rPr>
        <w:t xml:space="preserve"> </w:t>
      </w:r>
      <w:r w:rsidR="00ED75E3" w:rsidRPr="004271D8">
        <w:rPr>
          <w:rFonts w:eastAsia="Times New Roman" w:cs="Arial"/>
          <w:szCs w:val="24"/>
          <w:lang w:val="en-US"/>
        </w:rPr>
        <w:t xml:space="preserve">is committed to providing </w:t>
      </w:r>
      <w:r w:rsidR="00092C81" w:rsidRPr="004271D8">
        <w:rPr>
          <w:rFonts w:eastAsia="Times New Roman" w:cs="Arial"/>
          <w:szCs w:val="24"/>
          <w:lang w:val="en-US"/>
        </w:rPr>
        <w:t xml:space="preserve">a safe working environment for </w:t>
      </w:r>
      <w:r w:rsidR="00D75962">
        <w:rPr>
          <w:rFonts w:eastAsia="Times New Roman" w:cs="Arial"/>
          <w:szCs w:val="24"/>
          <w:lang w:val="en-US"/>
        </w:rPr>
        <w:t>C</w:t>
      </w:r>
      <w:r w:rsidR="00092C81" w:rsidRPr="004271D8">
        <w:rPr>
          <w:rFonts w:eastAsia="Times New Roman" w:cs="Arial"/>
          <w:szCs w:val="24"/>
          <w:lang w:val="en-US"/>
        </w:rPr>
        <w:t>ontractors</w:t>
      </w:r>
      <w:r w:rsidR="00D75962">
        <w:rPr>
          <w:rFonts w:eastAsia="Times New Roman" w:cs="Arial"/>
          <w:szCs w:val="24"/>
          <w:lang w:val="en-US"/>
        </w:rPr>
        <w:t>, Volunteers and Advisory Panel members</w:t>
      </w:r>
      <w:r w:rsidR="00D91493">
        <w:rPr>
          <w:rFonts w:eastAsia="Times New Roman" w:cs="Arial"/>
          <w:szCs w:val="24"/>
          <w:lang w:val="en-US"/>
        </w:rPr>
        <w:t>.</w:t>
      </w:r>
    </w:p>
    <w:p w14:paraId="3C01B0DA" w14:textId="0DDB272A" w:rsidR="00D91493" w:rsidRDefault="00D91493" w:rsidP="00E03182">
      <w:pPr>
        <w:rPr>
          <w:rFonts w:eastAsia="Times New Roman" w:cs="Arial"/>
          <w:szCs w:val="24"/>
          <w:lang w:val="en-US"/>
        </w:rPr>
      </w:pPr>
      <w:r w:rsidRPr="00D91493">
        <w:rPr>
          <w:rFonts w:eastAsia="Times New Roman" w:cs="Arial"/>
          <w:i/>
          <w:iCs/>
          <w:szCs w:val="24"/>
          <w:lang w:val="en-US"/>
        </w:rPr>
        <w:t>futures in sight</w:t>
      </w:r>
      <w:r>
        <w:rPr>
          <w:rFonts w:eastAsia="Times New Roman" w:cs="Arial"/>
          <w:szCs w:val="24"/>
          <w:lang w:val="en-US"/>
        </w:rPr>
        <w:t xml:space="preserve"> is c</w:t>
      </w:r>
      <w:r w:rsidR="00DC63C0">
        <w:rPr>
          <w:rFonts w:eastAsia="Times New Roman" w:cs="Arial"/>
          <w:szCs w:val="24"/>
          <w:lang w:val="en-US"/>
        </w:rPr>
        <w:t xml:space="preserve">ommitted to ensuring the dignity and safety </w:t>
      </w:r>
      <w:r>
        <w:rPr>
          <w:rFonts w:eastAsia="Times New Roman" w:cs="Arial"/>
          <w:szCs w:val="24"/>
          <w:lang w:val="en-US"/>
        </w:rPr>
        <w:t>of participants</w:t>
      </w:r>
      <w:r w:rsidR="00DC63C0">
        <w:rPr>
          <w:rFonts w:eastAsia="Times New Roman" w:cs="Arial"/>
          <w:szCs w:val="24"/>
          <w:lang w:val="en-US"/>
        </w:rPr>
        <w:t xml:space="preserve"> we work with</w:t>
      </w:r>
      <w:r>
        <w:rPr>
          <w:rFonts w:eastAsia="Times New Roman" w:cs="Arial"/>
          <w:szCs w:val="24"/>
          <w:lang w:val="en-US"/>
        </w:rPr>
        <w:t>.</w:t>
      </w:r>
    </w:p>
    <w:p w14:paraId="43511DC9" w14:textId="7698DF33" w:rsidR="003E27F5" w:rsidRDefault="003E27F5" w:rsidP="00E03182">
      <w:pPr>
        <w:rPr>
          <w:rFonts w:eastAsia="Times New Roman" w:cs="Arial"/>
          <w:szCs w:val="24"/>
          <w:lang w:val="en-US"/>
        </w:rPr>
      </w:pPr>
      <w:r w:rsidRPr="003E27F5">
        <w:rPr>
          <w:rFonts w:eastAsia="Times New Roman" w:cs="Arial"/>
          <w:i/>
          <w:iCs/>
          <w:szCs w:val="24"/>
          <w:lang w:val="en-US"/>
        </w:rPr>
        <w:t xml:space="preserve">Futures in sight </w:t>
      </w:r>
      <w:r>
        <w:rPr>
          <w:rFonts w:eastAsia="Times New Roman" w:cs="Arial"/>
          <w:szCs w:val="24"/>
          <w:lang w:val="en-US"/>
        </w:rPr>
        <w:t xml:space="preserve">complies with the NDIS Commission Incident Management and Reportable Incidents Rules (2018).  These can be found at </w:t>
      </w:r>
      <w:hyperlink r:id="rId8" w:history="1">
        <w:r w:rsidRPr="00297548">
          <w:rPr>
            <w:rStyle w:val="Hyperlink"/>
            <w:rFonts w:eastAsia="Times New Roman" w:cs="Arial"/>
            <w:szCs w:val="24"/>
            <w:lang w:val="en-US"/>
          </w:rPr>
          <w:t>www.ndiscommission.gov.au</w:t>
        </w:r>
      </w:hyperlink>
    </w:p>
    <w:p w14:paraId="34149E76" w14:textId="13B61FB9" w:rsidR="003B6BC8" w:rsidRPr="00953496" w:rsidRDefault="00555B03">
      <w:pPr>
        <w:pStyle w:val="Heading3"/>
      </w:pPr>
      <w:bookmarkStart w:id="3" w:name="_Toc510607530"/>
      <w:r w:rsidRPr="00953496">
        <w:t>Scope</w:t>
      </w:r>
      <w:bookmarkEnd w:id="3"/>
      <w:r w:rsidRPr="00953496">
        <w:t xml:space="preserve"> </w:t>
      </w:r>
    </w:p>
    <w:p w14:paraId="075E4020" w14:textId="7DF0103F" w:rsidR="00953496" w:rsidRDefault="0015265C" w:rsidP="0015265C">
      <w:pPr>
        <w:rPr>
          <w:rFonts w:cs="Arial"/>
          <w:szCs w:val="24"/>
        </w:rPr>
      </w:pPr>
      <w:r w:rsidRPr="004271D8">
        <w:rPr>
          <w:rFonts w:cs="Arial"/>
          <w:i/>
          <w:szCs w:val="24"/>
        </w:rPr>
        <w:t>futures in sight</w:t>
      </w:r>
      <w:r w:rsidRPr="004271D8">
        <w:rPr>
          <w:rFonts w:cs="Arial"/>
          <w:szCs w:val="24"/>
        </w:rPr>
        <w:t xml:space="preserve"> </w:t>
      </w:r>
      <w:r w:rsidR="00151BBA" w:rsidRPr="004271D8">
        <w:rPr>
          <w:rFonts w:cs="Arial"/>
          <w:szCs w:val="24"/>
        </w:rPr>
        <w:t>P</w:t>
      </w:r>
      <w:r w:rsidRPr="004271D8">
        <w:rPr>
          <w:rFonts w:cs="Arial"/>
          <w:szCs w:val="24"/>
        </w:rPr>
        <w:t>artners</w:t>
      </w:r>
      <w:r w:rsidR="00151BBA" w:rsidRPr="004271D8">
        <w:rPr>
          <w:rFonts w:cs="Arial"/>
          <w:szCs w:val="24"/>
        </w:rPr>
        <w:t>, C</w:t>
      </w:r>
      <w:r w:rsidR="002E31CF" w:rsidRPr="004271D8">
        <w:rPr>
          <w:rFonts w:cs="Arial"/>
          <w:szCs w:val="24"/>
        </w:rPr>
        <w:t>ontractors</w:t>
      </w:r>
      <w:r w:rsidR="00D75962" w:rsidRPr="004271D8">
        <w:rPr>
          <w:rFonts w:cs="Arial"/>
          <w:szCs w:val="24"/>
        </w:rPr>
        <w:t>,</w:t>
      </w:r>
      <w:r w:rsidR="002E31CF" w:rsidRPr="004271D8">
        <w:rPr>
          <w:rFonts w:cs="Arial"/>
          <w:szCs w:val="24"/>
        </w:rPr>
        <w:t xml:space="preserve"> </w:t>
      </w:r>
      <w:r w:rsidR="00151BBA" w:rsidRPr="004271D8">
        <w:rPr>
          <w:rFonts w:cs="Arial"/>
          <w:szCs w:val="24"/>
        </w:rPr>
        <w:t>V</w:t>
      </w:r>
      <w:r w:rsidR="002E31CF" w:rsidRPr="004271D8">
        <w:rPr>
          <w:rFonts w:cs="Arial"/>
          <w:szCs w:val="24"/>
        </w:rPr>
        <w:t>olunteers</w:t>
      </w:r>
      <w:r w:rsidR="00D75962" w:rsidRPr="004271D8">
        <w:rPr>
          <w:rFonts w:cs="Arial"/>
          <w:szCs w:val="24"/>
        </w:rPr>
        <w:t xml:space="preserve"> and Advisory Panel members</w:t>
      </w:r>
    </w:p>
    <w:p w14:paraId="7DAC4D26" w14:textId="798A24F8" w:rsidR="00D91493" w:rsidRDefault="00D91493" w:rsidP="0015265C">
      <w:pPr>
        <w:rPr>
          <w:rFonts w:cs="Arial"/>
          <w:szCs w:val="24"/>
        </w:rPr>
      </w:pPr>
      <w:r>
        <w:rPr>
          <w:rFonts w:cs="Arial"/>
          <w:szCs w:val="24"/>
        </w:rPr>
        <w:t>This policy is a supplement to:</w:t>
      </w:r>
    </w:p>
    <w:p w14:paraId="43B93B60" w14:textId="2D2AC511" w:rsidR="00D91493" w:rsidRPr="00D91493" w:rsidRDefault="00D91493" w:rsidP="0015265C">
      <w:pPr>
        <w:rPr>
          <w:rFonts w:cs="Arial"/>
          <w:i/>
          <w:iCs/>
          <w:szCs w:val="24"/>
        </w:rPr>
      </w:pPr>
      <w:r w:rsidRPr="00D91493">
        <w:rPr>
          <w:rFonts w:cs="Arial"/>
          <w:i/>
          <w:iCs/>
          <w:szCs w:val="24"/>
        </w:rPr>
        <w:t>Practice Guide: Expectations of workers providing services in incident management and reporting incidents June 2019</w:t>
      </w:r>
    </w:p>
    <w:p w14:paraId="5CD6E209" w14:textId="4C9D4D30" w:rsidR="00D91493" w:rsidRPr="00D91493" w:rsidRDefault="00D91493" w:rsidP="0015265C">
      <w:pPr>
        <w:rPr>
          <w:rFonts w:cs="Arial"/>
          <w:i/>
          <w:iCs/>
          <w:szCs w:val="24"/>
        </w:rPr>
      </w:pPr>
      <w:r w:rsidRPr="00D91493">
        <w:rPr>
          <w:rFonts w:cs="Arial"/>
          <w:i/>
          <w:iCs/>
          <w:szCs w:val="24"/>
        </w:rPr>
        <w:t>Reportable Incidents: Detailed Guidance for Registered NDIS Providers June 2019</w:t>
      </w:r>
    </w:p>
    <w:p w14:paraId="09D79560" w14:textId="789C889A" w:rsidR="003259BB" w:rsidRPr="004271D8" w:rsidRDefault="003259BB" w:rsidP="003259BB">
      <w:pPr>
        <w:rPr>
          <w:rFonts w:cs="Arial"/>
          <w:szCs w:val="24"/>
        </w:rPr>
      </w:pPr>
      <w:r w:rsidRPr="004271D8">
        <w:rPr>
          <w:rFonts w:cs="Arial"/>
          <w:szCs w:val="24"/>
        </w:rPr>
        <w:t>The following types of event, injury and/or illnesses will be reported</w:t>
      </w:r>
      <w:r w:rsidR="00DC63C0">
        <w:rPr>
          <w:rFonts w:cs="Arial"/>
          <w:szCs w:val="24"/>
        </w:rPr>
        <w:t xml:space="preserve"> to a</w:t>
      </w:r>
      <w:r w:rsidR="00496017">
        <w:rPr>
          <w:rFonts w:cs="Arial"/>
          <w:szCs w:val="24"/>
        </w:rPr>
        <w:t xml:space="preserve"> </w:t>
      </w:r>
      <w:proofErr w:type="gramStart"/>
      <w:r w:rsidR="00496017" w:rsidRPr="00496017">
        <w:rPr>
          <w:rFonts w:cs="Arial"/>
          <w:i/>
          <w:szCs w:val="24"/>
        </w:rPr>
        <w:t>futures</w:t>
      </w:r>
      <w:proofErr w:type="gramEnd"/>
      <w:r w:rsidR="00496017" w:rsidRPr="00496017">
        <w:rPr>
          <w:rFonts w:cs="Arial"/>
          <w:i/>
          <w:szCs w:val="24"/>
        </w:rPr>
        <w:t xml:space="preserve"> in sight</w:t>
      </w:r>
      <w:r w:rsidR="00496017">
        <w:rPr>
          <w:rFonts w:cs="Arial"/>
          <w:szCs w:val="24"/>
        </w:rPr>
        <w:t xml:space="preserve"> </w:t>
      </w:r>
      <w:r w:rsidR="00DC63C0">
        <w:rPr>
          <w:rFonts w:cs="Arial"/>
          <w:szCs w:val="24"/>
        </w:rPr>
        <w:t>Partner</w:t>
      </w:r>
      <w:r w:rsidRPr="004271D8">
        <w:rPr>
          <w:rFonts w:cs="Arial"/>
          <w:szCs w:val="24"/>
        </w:rPr>
        <w:t xml:space="preserve">, regardless of the nature or severity of the event: </w:t>
      </w:r>
    </w:p>
    <w:p w14:paraId="410C9261" w14:textId="4C085273" w:rsidR="003259BB" w:rsidRPr="00B40CE5" w:rsidRDefault="003259BB" w:rsidP="00B40CE5">
      <w:pPr>
        <w:pStyle w:val="ListParagraph"/>
        <w:numPr>
          <w:ilvl w:val="0"/>
          <w:numId w:val="15"/>
        </w:numPr>
        <w:rPr>
          <w:rFonts w:cs="Arial"/>
        </w:rPr>
      </w:pPr>
      <w:r w:rsidRPr="00B40CE5">
        <w:rPr>
          <w:rFonts w:cs="Arial"/>
        </w:rPr>
        <w:t xml:space="preserve">Fatality </w:t>
      </w:r>
    </w:p>
    <w:p w14:paraId="4C74946A" w14:textId="70372E18" w:rsidR="003259BB" w:rsidRPr="00B40CE5" w:rsidRDefault="003259BB" w:rsidP="00B40CE5">
      <w:pPr>
        <w:pStyle w:val="ListParagraph"/>
        <w:numPr>
          <w:ilvl w:val="0"/>
          <w:numId w:val="15"/>
        </w:numPr>
        <w:rPr>
          <w:rFonts w:cs="Arial"/>
        </w:rPr>
      </w:pPr>
      <w:r w:rsidRPr="00B40CE5">
        <w:rPr>
          <w:rFonts w:cs="Arial"/>
        </w:rPr>
        <w:t xml:space="preserve">Critical injury/illness </w:t>
      </w:r>
    </w:p>
    <w:p w14:paraId="3B759C91" w14:textId="10F3C6C7" w:rsidR="003259BB" w:rsidRPr="00B40CE5" w:rsidRDefault="003259BB" w:rsidP="00B40CE5">
      <w:pPr>
        <w:pStyle w:val="ListParagraph"/>
        <w:numPr>
          <w:ilvl w:val="0"/>
          <w:numId w:val="15"/>
        </w:numPr>
        <w:rPr>
          <w:rFonts w:cs="Arial"/>
        </w:rPr>
      </w:pPr>
      <w:r w:rsidRPr="00B40CE5">
        <w:rPr>
          <w:rFonts w:cs="Arial"/>
        </w:rPr>
        <w:t xml:space="preserve">Lost-time injury/illness </w:t>
      </w:r>
    </w:p>
    <w:p w14:paraId="0090751A" w14:textId="4D566E12" w:rsidR="003259BB" w:rsidRPr="00B40CE5" w:rsidRDefault="003259BB" w:rsidP="00B40CE5">
      <w:pPr>
        <w:pStyle w:val="ListParagraph"/>
        <w:numPr>
          <w:ilvl w:val="0"/>
          <w:numId w:val="15"/>
        </w:numPr>
        <w:rPr>
          <w:rFonts w:cs="Arial"/>
        </w:rPr>
      </w:pPr>
      <w:r w:rsidRPr="00B40CE5">
        <w:rPr>
          <w:rFonts w:cs="Arial"/>
        </w:rPr>
        <w:t xml:space="preserve">Illness or injury for which an employee receives/seeks medical attention </w:t>
      </w:r>
    </w:p>
    <w:p w14:paraId="4AE49547" w14:textId="5BD76FAA" w:rsidR="003259BB" w:rsidRPr="00B40CE5" w:rsidRDefault="003259BB" w:rsidP="00B40CE5">
      <w:pPr>
        <w:pStyle w:val="ListParagraph"/>
        <w:numPr>
          <w:ilvl w:val="0"/>
          <w:numId w:val="15"/>
        </w:numPr>
        <w:rPr>
          <w:rFonts w:cs="Arial"/>
        </w:rPr>
      </w:pPr>
      <w:r w:rsidRPr="00B40CE5">
        <w:rPr>
          <w:rFonts w:cs="Arial"/>
        </w:rPr>
        <w:t xml:space="preserve">First aid treatment </w:t>
      </w:r>
    </w:p>
    <w:p w14:paraId="28179126" w14:textId="22C5C9E5" w:rsidR="003259BB" w:rsidRPr="00B40CE5" w:rsidRDefault="003259BB" w:rsidP="00B40CE5">
      <w:pPr>
        <w:pStyle w:val="ListParagraph"/>
        <w:numPr>
          <w:ilvl w:val="0"/>
          <w:numId w:val="15"/>
        </w:numPr>
        <w:rPr>
          <w:rFonts w:cs="Arial"/>
        </w:rPr>
      </w:pPr>
      <w:r w:rsidRPr="00B40CE5">
        <w:rPr>
          <w:rFonts w:cs="Arial"/>
        </w:rPr>
        <w:t xml:space="preserve">Occupational disease </w:t>
      </w:r>
    </w:p>
    <w:p w14:paraId="64C03652" w14:textId="40A229DC" w:rsidR="00D91493" w:rsidRPr="00B40CE5" w:rsidRDefault="003259BB" w:rsidP="00B40CE5">
      <w:pPr>
        <w:pStyle w:val="ListParagraph"/>
        <w:numPr>
          <w:ilvl w:val="0"/>
          <w:numId w:val="15"/>
        </w:numPr>
        <w:rPr>
          <w:rFonts w:cs="Arial"/>
        </w:rPr>
      </w:pPr>
      <w:r w:rsidRPr="00B40CE5">
        <w:rPr>
          <w:rFonts w:cs="Arial"/>
        </w:rPr>
        <w:t xml:space="preserve">Property damage </w:t>
      </w:r>
    </w:p>
    <w:p w14:paraId="71572673" w14:textId="57D65837" w:rsidR="003259BB" w:rsidRPr="00B40CE5" w:rsidRDefault="003259BB" w:rsidP="00B40CE5">
      <w:pPr>
        <w:pStyle w:val="ListParagraph"/>
        <w:numPr>
          <w:ilvl w:val="0"/>
          <w:numId w:val="15"/>
        </w:numPr>
        <w:rPr>
          <w:rFonts w:cs="Arial"/>
        </w:rPr>
      </w:pPr>
      <w:r w:rsidRPr="00B40CE5">
        <w:rPr>
          <w:rFonts w:cs="Arial"/>
        </w:rPr>
        <w:t xml:space="preserve">Near-miss </w:t>
      </w:r>
    </w:p>
    <w:p w14:paraId="214AE9D8" w14:textId="741D9EF4" w:rsidR="003259BB" w:rsidRPr="00B40CE5" w:rsidRDefault="003259BB" w:rsidP="00B40CE5">
      <w:pPr>
        <w:pStyle w:val="ListParagraph"/>
        <w:numPr>
          <w:ilvl w:val="0"/>
          <w:numId w:val="15"/>
        </w:numPr>
        <w:rPr>
          <w:rFonts w:cs="Arial"/>
        </w:rPr>
      </w:pPr>
      <w:r w:rsidRPr="00B40CE5">
        <w:rPr>
          <w:rFonts w:cs="Arial"/>
        </w:rPr>
        <w:t xml:space="preserve">Fire </w:t>
      </w:r>
    </w:p>
    <w:p w14:paraId="78785F35" w14:textId="42D749D2" w:rsidR="003259BB" w:rsidRPr="00B40CE5" w:rsidRDefault="003259BB" w:rsidP="00B40CE5">
      <w:pPr>
        <w:pStyle w:val="ListParagraph"/>
        <w:numPr>
          <w:ilvl w:val="0"/>
          <w:numId w:val="15"/>
        </w:numPr>
        <w:rPr>
          <w:rFonts w:cs="Arial"/>
        </w:rPr>
      </w:pPr>
      <w:r w:rsidRPr="00B40CE5">
        <w:rPr>
          <w:rFonts w:cs="Arial"/>
        </w:rPr>
        <w:t xml:space="preserve">Environmental release </w:t>
      </w:r>
    </w:p>
    <w:p w14:paraId="602BC098" w14:textId="6E7EDE9A" w:rsidR="003259BB" w:rsidRPr="00B40CE5" w:rsidRDefault="003259BB" w:rsidP="00B40CE5">
      <w:pPr>
        <w:pStyle w:val="ListParagraph"/>
        <w:numPr>
          <w:ilvl w:val="0"/>
          <w:numId w:val="15"/>
        </w:numPr>
        <w:rPr>
          <w:rFonts w:cs="Arial"/>
        </w:rPr>
      </w:pPr>
      <w:r w:rsidRPr="00B40CE5">
        <w:rPr>
          <w:rFonts w:cs="Arial"/>
        </w:rPr>
        <w:t xml:space="preserve">Explosions </w:t>
      </w:r>
    </w:p>
    <w:p w14:paraId="17846028" w14:textId="5CE7D54F" w:rsidR="00DC63C0" w:rsidRPr="00B40CE5" w:rsidRDefault="003259BB" w:rsidP="00B40CE5">
      <w:pPr>
        <w:pStyle w:val="ListParagraph"/>
        <w:numPr>
          <w:ilvl w:val="0"/>
          <w:numId w:val="15"/>
        </w:numPr>
        <w:rPr>
          <w:rFonts w:cs="Arial"/>
        </w:rPr>
      </w:pPr>
      <w:r w:rsidRPr="00B40CE5">
        <w:rPr>
          <w:rFonts w:cs="Arial"/>
        </w:rPr>
        <w:t>Exposures to biological, chemical or physical agents</w:t>
      </w:r>
    </w:p>
    <w:p w14:paraId="3CB435D3" w14:textId="265AA073" w:rsidR="00DC63C0" w:rsidRPr="00B40CE5" w:rsidRDefault="00DC63C0" w:rsidP="00B40CE5">
      <w:pPr>
        <w:pStyle w:val="ListParagraph"/>
        <w:numPr>
          <w:ilvl w:val="0"/>
          <w:numId w:val="15"/>
        </w:numPr>
        <w:rPr>
          <w:rFonts w:cs="Arial"/>
        </w:rPr>
      </w:pPr>
      <w:r w:rsidRPr="00B40CE5">
        <w:rPr>
          <w:rFonts w:cs="Arial"/>
        </w:rPr>
        <w:t>Assault</w:t>
      </w:r>
    </w:p>
    <w:p w14:paraId="52853627" w14:textId="4C89D8D8" w:rsidR="00DC63C0" w:rsidRPr="00B40CE5" w:rsidRDefault="00DC63C0" w:rsidP="00B40CE5">
      <w:pPr>
        <w:pStyle w:val="ListParagraph"/>
        <w:numPr>
          <w:ilvl w:val="0"/>
          <w:numId w:val="15"/>
        </w:numPr>
        <w:rPr>
          <w:rFonts w:cs="Arial"/>
        </w:rPr>
      </w:pPr>
      <w:r w:rsidRPr="00B40CE5">
        <w:rPr>
          <w:rFonts w:cs="Arial"/>
        </w:rPr>
        <w:lastRenderedPageBreak/>
        <w:t>Abuse and/or neglect</w:t>
      </w:r>
    </w:p>
    <w:p w14:paraId="75C676B2" w14:textId="36630E8B" w:rsidR="00DC63C0" w:rsidRPr="00B40CE5" w:rsidRDefault="00DC63C0" w:rsidP="00B40CE5">
      <w:pPr>
        <w:pStyle w:val="ListParagraph"/>
        <w:numPr>
          <w:ilvl w:val="0"/>
          <w:numId w:val="15"/>
        </w:numPr>
        <w:rPr>
          <w:rFonts w:cs="Arial"/>
        </w:rPr>
      </w:pPr>
      <w:r w:rsidRPr="00B40CE5">
        <w:rPr>
          <w:rFonts w:cs="Arial"/>
        </w:rPr>
        <w:t>Sexual assault and sexual misconduct</w:t>
      </w:r>
    </w:p>
    <w:p w14:paraId="6BC289D0" w14:textId="3C43348E" w:rsidR="003259BB" w:rsidRPr="00B40CE5" w:rsidRDefault="00DC63C0" w:rsidP="00B40CE5">
      <w:pPr>
        <w:pStyle w:val="ListParagraph"/>
        <w:numPr>
          <w:ilvl w:val="0"/>
          <w:numId w:val="15"/>
        </w:numPr>
        <w:rPr>
          <w:rFonts w:cs="Arial"/>
        </w:rPr>
      </w:pPr>
      <w:r w:rsidRPr="00B40CE5">
        <w:rPr>
          <w:rFonts w:cs="Arial"/>
        </w:rPr>
        <w:t>Exploitation of any kind</w:t>
      </w:r>
    </w:p>
    <w:p w14:paraId="009984F1" w14:textId="6C316A75" w:rsidR="00660176" w:rsidRDefault="00660176" w:rsidP="00953496">
      <w:pPr>
        <w:pStyle w:val="Heading3"/>
      </w:pPr>
      <w:bookmarkStart w:id="4" w:name="_Toc510607531"/>
      <w:r>
        <w:t>Principles</w:t>
      </w:r>
      <w:bookmarkEnd w:id="4"/>
    </w:p>
    <w:p w14:paraId="6EA8E72C" w14:textId="0E6E6C17" w:rsidR="00E03182" w:rsidRPr="004271D8" w:rsidRDefault="00092C81" w:rsidP="00660176">
      <w:pPr>
        <w:pStyle w:val="ListParagraph"/>
        <w:numPr>
          <w:ilvl w:val="0"/>
          <w:numId w:val="15"/>
        </w:numPr>
        <w:rPr>
          <w:rFonts w:cs="Arial"/>
        </w:rPr>
      </w:pPr>
      <w:r w:rsidRPr="004271D8">
        <w:rPr>
          <w:rFonts w:cs="Arial"/>
        </w:rPr>
        <w:t>Workplace health and safety is the responsibility of everyone</w:t>
      </w:r>
    </w:p>
    <w:p w14:paraId="3BFE25AB" w14:textId="0E1EE330" w:rsidR="00E03182" w:rsidRDefault="006564BE" w:rsidP="00092C81">
      <w:pPr>
        <w:pStyle w:val="ListParagraph"/>
        <w:numPr>
          <w:ilvl w:val="0"/>
          <w:numId w:val="15"/>
        </w:numPr>
        <w:rPr>
          <w:rFonts w:cs="Arial"/>
        </w:rPr>
      </w:pPr>
      <w:r>
        <w:rPr>
          <w:rFonts w:cs="Arial"/>
        </w:rPr>
        <w:t xml:space="preserve">Partners, </w:t>
      </w:r>
      <w:r w:rsidR="00092C81" w:rsidRPr="004271D8">
        <w:rPr>
          <w:rFonts w:cs="Arial"/>
        </w:rPr>
        <w:t xml:space="preserve">Contractors and </w:t>
      </w:r>
      <w:r>
        <w:rPr>
          <w:rFonts w:cs="Arial"/>
        </w:rPr>
        <w:t>Vo</w:t>
      </w:r>
      <w:r w:rsidR="00092C81" w:rsidRPr="004271D8">
        <w:rPr>
          <w:rFonts w:cs="Arial"/>
        </w:rPr>
        <w:t xml:space="preserve">lunteers </w:t>
      </w:r>
      <w:r>
        <w:rPr>
          <w:rFonts w:cs="Arial"/>
        </w:rPr>
        <w:t xml:space="preserve">and Advisory Panel members </w:t>
      </w:r>
      <w:r w:rsidR="00092C81" w:rsidRPr="004271D8">
        <w:rPr>
          <w:rFonts w:cs="Arial"/>
        </w:rPr>
        <w:t>are entitled to a safe and healthy workplace</w:t>
      </w:r>
    </w:p>
    <w:p w14:paraId="1599898B" w14:textId="3EAD2617" w:rsidR="00496017" w:rsidRPr="004271D8" w:rsidRDefault="00496017" w:rsidP="00496017">
      <w:pPr>
        <w:pStyle w:val="ListParagraph"/>
        <w:numPr>
          <w:ilvl w:val="0"/>
          <w:numId w:val="15"/>
        </w:numPr>
        <w:rPr>
          <w:rFonts w:cs="Arial"/>
        </w:rPr>
      </w:pPr>
      <w:r>
        <w:rPr>
          <w:rFonts w:cs="Arial"/>
        </w:rPr>
        <w:t>People with disability have the right to l</w:t>
      </w:r>
      <w:r w:rsidRPr="00496017">
        <w:rPr>
          <w:rFonts w:cs="Arial"/>
        </w:rPr>
        <w:t>ive a life of dignity, free from abuse, neglect and exploitation</w:t>
      </w:r>
    </w:p>
    <w:p w14:paraId="2F5A9A2A" w14:textId="77777777" w:rsidR="00D75962" w:rsidRDefault="00D75962" w:rsidP="00953496">
      <w:pPr>
        <w:pStyle w:val="Heading3"/>
      </w:pPr>
      <w:bookmarkStart w:id="5" w:name="_Toc510607532"/>
    </w:p>
    <w:p w14:paraId="46CA7B1A" w14:textId="3259148E" w:rsidR="00660176" w:rsidRDefault="00660176" w:rsidP="00953496">
      <w:pPr>
        <w:pStyle w:val="Heading3"/>
      </w:pPr>
      <w:r>
        <w:t>Definition</w:t>
      </w:r>
      <w:r w:rsidR="003259BB">
        <w:t>s</w:t>
      </w:r>
      <w:bookmarkEnd w:id="5"/>
    </w:p>
    <w:p w14:paraId="2A8E02DC" w14:textId="291FABBB" w:rsidR="00496017" w:rsidRPr="00496017" w:rsidRDefault="00496017" w:rsidP="00241F9D">
      <w:pPr>
        <w:rPr>
          <w:rFonts w:cs="Arial"/>
        </w:rPr>
      </w:pPr>
      <w:r w:rsidRPr="00496017">
        <w:rPr>
          <w:rFonts w:cs="Arial"/>
          <w:b/>
        </w:rPr>
        <w:t xml:space="preserve">Incident </w:t>
      </w:r>
      <w:r w:rsidRPr="00496017">
        <w:rPr>
          <w:rFonts w:cs="Arial"/>
        </w:rPr>
        <w:t xml:space="preserve">– an event </w:t>
      </w:r>
      <w:r>
        <w:rPr>
          <w:rFonts w:cs="Arial"/>
        </w:rPr>
        <w:t xml:space="preserve">which occurs as a result of an act or failure to act and </w:t>
      </w:r>
      <w:r w:rsidRPr="00496017">
        <w:rPr>
          <w:rFonts w:cs="Arial"/>
        </w:rPr>
        <w:t>that has the potential to threaten the health, safety or wellbeing of a person or people</w:t>
      </w:r>
    </w:p>
    <w:p w14:paraId="3CC2336E" w14:textId="63C79CB4" w:rsidR="003259BB" w:rsidRPr="004271D8" w:rsidRDefault="003259BB" w:rsidP="00241F9D">
      <w:pPr>
        <w:rPr>
          <w:rFonts w:cs="Arial"/>
        </w:rPr>
      </w:pPr>
      <w:r w:rsidRPr="004271D8">
        <w:rPr>
          <w:rFonts w:cs="Arial"/>
          <w:b/>
        </w:rPr>
        <w:t>Injury</w:t>
      </w:r>
      <w:r w:rsidRPr="004271D8">
        <w:rPr>
          <w:rFonts w:cs="Arial"/>
        </w:rPr>
        <w:t xml:space="preserve"> – an event that results in physical harm</w:t>
      </w:r>
    </w:p>
    <w:p w14:paraId="7BD38585" w14:textId="75893077" w:rsidR="003259BB" w:rsidRPr="004271D8" w:rsidRDefault="003259BB" w:rsidP="00241F9D">
      <w:pPr>
        <w:rPr>
          <w:rFonts w:cs="Arial"/>
        </w:rPr>
      </w:pPr>
      <w:r w:rsidRPr="004271D8">
        <w:rPr>
          <w:rFonts w:cs="Arial"/>
          <w:b/>
        </w:rPr>
        <w:t>Illness</w:t>
      </w:r>
      <w:r w:rsidRPr="004271D8">
        <w:rPr>
          <w:rFonts w:cs="Arial"/>
        </w:rPr>
        <w:t xml:space="preserve"> – a deviation from the normal, health state of the body</w:t>
      </w:r>
    </w:p>
    <w:p w14:paraId="139B0FC8" w14:textId="44FD90FF" w:rsidR="00496017" w:rsidRDefault="00D75962" w:rsidP="00241F9D">
      <w:pPr>
        <w:rPr>
          <w:rFonts w:cs="Arial"/>
        </w:rPr>
      </w:pPr>
      <w:r>
        <w:rPr>
          <w:rFonts w:cs="Arial"/>
          <w:b/>
        </w:rPr>
        <w:t>R</w:t>
      </w:r>
      <w:r w:rsidR="00092C81" w:rsidRPr="004271D8">
        <w:rPr>
          <w:rFonts w:cs="Arial"/>
          <w:b/>
        </w:rPr>
        <w:t>egister of i</w:t>
      </w:r>
      <w:r w:rsidR="009A491F">
        <w:rPr>
          <w:rFonts w:cs="Arial"/>
          <w:b/>
        </w:rPr>
        <w:t>ncidents, accidents and i</w:t>
      </w:r>
      <w:r w:rsidR="00092C81" w:rsidRPr="004271D8">
        <w:rPr>
          <w:rFonts w:cs="Arial"/>
          <w:b/>
        </w:rPr>
        <w:t>njuries</w:t>
      </w:r>
      <w:r w:rsidR="00241F9D" w:rsidRPr="004271D8">
        <w:rPr>
          <w:rFonts w:cs="Arial"/>
        </w:rPr>
        <w:t xml:space="preserve"> </w:t>
      </w:r>
      <w:r>
        <w:rPr>
          <w:rFonts w:cs="Arial"/>
        </w:rPr>
        <w:t xml:space="preserve">- </w:t>
      </w:r>
      <w:r w:rsidR="009D7F9A" w:rsidRPr="004271D8">
        <w:rPr>
          <w:rFonts w:cs="Arial"/>
        </w:rPr>
        <w:t xml:space="preserve">a record of </w:t>
      </w:r>
      <w:r w:rsidR="009A491F">
        <w:rPr>
          <w:rFonts w:cs="Arial"/>
        </w:rPr>
        <w:t xml:space="preserve">incidents, </w:t>
      </w:r>
      <w:r w:rsidR="009D7F9A" w:rsidRPr="004271D8">
        <w:rPr>
          <w:rFonts w:cs="Arial"/>
        </w:rPr>
        <w:t xml:space="preserve">injuries or illnesses </w:t>
      </w:r>
      <w:r w:rsidR="009A491F">
        <w:rPr>
          <w:rFonts w:cs="Arial"/>
        </w:rPr>
        <w:t xml:space="preserve">occurring at work and being </w:t>
      </w:r>
      <w:r w:rsidR="009D7F9A" w:rsidRPr="004271D8">
        <w:rPr>
          <w:rFonts w:cs="Arial"/>
        </w:rPr>
        <w:t>sustained by workers</w:t>
      </w:r>
      <w:r w:rsidR="009A491F">
        <w:rPr>
          <w:rFonts w:cs="Arial"/>
        </w:rPr>
        <w:t xml:space="preserve">, </w:t>
      </w:r>
      <w:r w:rsidR="009D7F9A" w:rsidRPr="004271D8">
        <w:rPr>
          <w:rFonts w:cs="Arial"/>
        </w:rPr>
        <w:t xml:space="preserve">contractors </w:t>
      </w:r>
      <w:r w:rsidR="009A491F">
        <w:rPr>
          <w:rFonts w:cs="Arial"/>
        </w:rPr>
        <w:t xml:space="preserve">or participants </w:t>
      </w:r>
      <w:r w:rsidR="009D7F9A" w:rsidRPr="004271D8">
        <w:rPr>
          <w:rFonts w:cs="Arial"/>
        </w:rPr>
        <w:t>regardless of whether there has be</w:t>
      </w:r>
      <w:r>
        <w:rPr>
          <w:rFonts w:cs="Arial"/>
        </w:rPr>
        <w:t>en</w:t>
      </w:r>
      <w:r w:rsidR="009D7F9A" w:rsidRPr="004271D8">
        <w:rPr>
          <w:rFonts w:cs="Arial"/>
        </w:rPr>
        <w:t xml:space="preserve"> a claim</w:t>
      </w:r>
      <w:r w:rsidR="00241F9D" w:rsidRPr="004271D8">
        <w:rPr>
          <w:rFonts w:cs="Arial"/>
        </w:rPr>
        <w:t xml:space="preserve">. </w:t>
      </w:r>
    </w:p>
    <w:p w14:paraId="0DF897BA" w14:textId="77777777" w:rsidR="00496017" w:rsidRDefault="00496017" w:rsidP="00496017">
      <w:pPr>
        <w:rPr>
          <w:rFonts w:cs="Arial"/>
        </w:rPr>
      </w:pPr>
      <w:r w:rsidRPr="00496017">
        <w:rPr>
          <w:rFonts w:cs="Arial"/>
          <w:b/>
        </w:rPr>
        <w:t>Reportable incident</w:t>
      </w:r>
      <w:r>
        <w:rPr>
          <w:rFonts w:cs="Arial"/>
        </w:rPr>
        <w:t xml:space="preserve"> – </w:t>
      </w:r>
      <w:r w:rsidRPr="00496017">
        <w:rPr>
          <w:rFonts w:cs="Arial"/>
        </w:rPr>
        <w:t>incidents or alleged incidents which result in harm to a NDIS participant and occur in connection with NDIS supports and services. Specific</w:t>
      </w:r>
      <w:r>
        <w:rPr>
          <w:rFonts w:cs="Arial"/>
        </w:rPr>
        <w:t>ally:</w:t>
      </w:r>
    </w:p>
    <w:p w14:paraId="5E58ADC6" w14:textId="77777777" w:rsidR="00496017" w:rsidRPr="00496017" w:rsidRDefault="00496017" w:rsidP="00496017">
      <w:pPr>
        <w:ind w:left="720"/>
        <w:rPr>
          <w:rFonts w:cs="Arial"/>
        </w:rPr>
      </w:pPr>
      <w:r w:rsidRPr="00496017">
        <w:rPr>
          <w:rFonts w:cs="Arial"/>
        </w:rPr>
        <w:t>• The death of a person with disability.</w:t>
      </w:r>
    </w:p>
    <w:p w14:paraId="0B0F6896" w14:textId="77777777" w:rsidR="00496017" w:rsidRPr="00496017" w:rsidRDefault="00496017" w:rsidP="00496017">
      <w:pPr>
        <w:ind w:left="720"/>
        <w:rPr>
          <w:rFonts w:cs="Arial"/>
        </w:rPr>
      </w:pPr>
      <w:r w:rsidRPr="00496017">
        <w:rPr>
          <w:rFonts w:cs="Arial"/>
        </w:rPr>
        <w:t>• Serious injury of a person with disability.</w:t>
      </w:r>
    </w:p>
    <w:p w14:paraId="692C0C4B" w14:textId="77777777" w:rsidR="00496017" w:rsidRPr="00496017" w:rsidRDefault="00496017" w:rsidP="00496017">
      <w:pPr>
        <w:ind w:left="720"/>
        <w:rPr>
          <w:rFonts w:cs="Arial"/>
        </w:rPr>
      </w:pPr>
      <w:r w:rsidRPr="00496017">
        <w:rPr>
          <w:rFonts w:cs="Arial"/>
        </w:rPr>
        <w:t>• Abuse or neglect of a person with disability.</w:t>
      </w:r>
    </w:p>
    <w:p w14:paraId="59E0963A" w14:textId="2AC58BD0" w:rsidR="00496017" w:rsidRPr="00496017" w:rsidRDefault="00496017" w:rsidP="00496017">
      <w:pPr>
        <w:ind w:left="720"/>
        <w:rPr>
          <w:rFonts w:cs="Arial"/>
        </w:rPr>
      </w:pPr>
      <w:r w:rsidRPr="00496017">
        <w:rPr>
          <w:rFonts w:cs="Arial"/>
        </w:rPr>
        <w:t xml:space="preserve">• Unlawful sexual or physical contact with, or assault of, a person with disability </w:t>
      </w:r>
    </w:p>
    <w:p w14:paraId="17F00803" w14:textId="77777777" w:rsidR="00496017" w:rsidRPr="00496017" w:rsidRDefault="00496017" w:rsidP="00496017">
      <w:pPr>
        <w:ind w:left="720"/>
        <w:rPr>
          <w:rFonts w:cs="Arial"/>
        </w:rPr>
      </w:pPr>
      <w:r w:rsidRPr="00496017">
        <w:rPr>
          <w:rFonts w:cs="Arial"/>
        </w:rPr>
        <w:t>• Sexual misconduct committed against, or in the presence of, a person with disability, including grooming of the person for sexual activity.</w:t>
      </w:r>
    </w:p>
    <w:p w14:paraId="3AF6E1BC" w14:textId="1A531C78" w:rsidR="00496017" w:rsidRDefault="00496017" w:rsidP="00496017">
      <w:pPr>
        <w:ind w:left="720"/>
        <w:rPr>
          <w:rFonts w:cs="Arial"/>
        </w:rPr>
      </w:pPr>
      <w:r w:rsidRPr="00496017">
        <w:rPr>
          <w:rFonts w:cs="Arial"/>
        </w:rPr>
        <w:t>• The use of a</w:t>
      </w:r>
      <w:r>
        <w:rPr>
          <w:rFonts w:cs="Arial"/>
        </w:rPr>
        <w:t>n unauthorised</w:t>
      </w:r>
      <w:r w:rsidRPr="00496017">
        <w:rPr>
          <w:rFonts w:cs="Arial"/>
        </w:rPr>
        <w:t xml:space="preserve"> restrictive practice in relation to a</w:t>
      </w:r>
      <w:r>
        <w:rPr>
          <w:rFonts w:cs="Arial"/>
        </w:rPr>
        <w:t xml:space="preserve"> person with disability, other</w:t>
      </w:r>
      <w:r w:rsidRPr="00496017">
        <w:rPr>
          <w:rFonts w:cs="Arial"/>
        </w:rPr>
        <w:t>.</w:t>
      </w:r>
    </w:p>
    <w:p w14:paraId="2105253A" w14:textId="7943F83C" w:rsidR="00F401B4" w:rsidRPr="00953496" w:rsidRDefault="00241F9D" w:rsidP="00B40CE5">
      <w:r w:rsidRPr="004271D8">
        <w:rPr>
          <w:rFonts w:cs="Arial"/>
        </w:rPr>
        <w:t xml:space="preserve"> </w:t>
      </w:r>
      <w:bookmarkStart w:id="6" w:name="_Toc510607533"/>
      <w:r w:rsidR="002E31CF" w:rsidRPr="00953496">
        <w:t>Related Documents</w:t>
      </w:r>
      <w:bookmarkEnd w:id="6"/>
    </w:p>
    <w:p w14:paraId="4C699917" w14:textId="3E96A043" w:rsidR="002E31CF" w:rsidRPr="004271D8" w:rsidRDefault="002E31CF" w:rsidP="002E31CF">
      <w:pPr>
        <w:pStyle w:val="ListParagraph"/>
        <w:numPr>
          <w:ilvl w:val="0"/>
          <w:numId w:val="12"/>
        </w:numPr>
        <w:spacing w:before="120"/>
        <w:rPr>
          <w:rFonts w:eastAsia="SymbolMT" w:cs="Arial"/>
          <w:bCs/>
          <w:szCs w:val="24"/>
        </w:rPr>
      </w:pPr>
      <w:r w:rsidRPr="004271D8">
        <w:rPr>
          <w:rFonts w:eastAsia="SymbolMT" w:cs="Arial"/>
          <w:bCs/>
          <w:szCs w:val="24"/>
        </w:rPr>
        <w:lastRenderedPageBreak/>
        <w:t>Engaging Contractors</w:t>
      </w:r>
      <w:r w:rsidR="001C46C8" w:rsidRPr="004271D8">
        <w:rPr>
          <w:rFonts w:eastAsia="SymbolMT" w:cs="Arial"/>
          <w:bCs/>
          <w:szCs w:val="24"/>
        </w:rPr>
        <w:t xml:space="preserve"> Policy</w:t>
      </w:r>
    </w:p>
    <w:p w14:paraId="0A22F2A8" w14:textId="0AF359DC" w:rsidR="009A491F" w:rsidRDefault="002E31CF" w:rsidP="002E31CF">
      <w:pPr>
        <w:pStyle w:val="ListParagraph"/>
        <w:numPr>
          <w:ilvl w:val="0"/>
          <w:numId w:val="12"/>
        </w:numPr>
        <w:spacing w:before="120"/>
        <w:rPr>
          <w:rFonts w:eastAsia="SymbolMT" w:cs="Arial"/>
          <w:bCs/>
          <w:szCs w:val="24"/>
        </w:rPr>
      </w:pPr>
      <w:r w:rsidRPr="004271D8">
        <w:rPr>
          <w:rFonts w:eastAsia="SymbolMT" w:cs="Arial"/>
          <w:bCs/>
          <w:szCs w:val="24"/>
        </w:rPr>
        <w:t>Position Description</w:t>
      </w:r>
    </w:p>
    <w:p w14:paraId="0D7973DB" w14:textId="0F635D83" w:rsidR="00953496" w:rsidRPr="004271D8" w:rsidRDefault="00660176" w:rsidP="00323B52">
      <w:pPr>
        <w:pStyle w:val="ListParagraph"/>
        <w:numPr>
          <w:ilvl w:val="0"/>
          <w:numId w:val="12"/>
        </w:numPr>
        <w:spacing w:before="120"/>
        <w:rPr>
          <w:rFonts w:eastAsia="SymbolMT" w:cs="Arial"/>
          <w:bCs/>
          <w:szCs w:val="24"/>
        </w:rPr>
      </w:pPr>
      <w:r w:rsidRPr="004271D8">
        <w:rPr>
          <w:rFonts w:eastAsia="SymbolMT" w:cs="Arial"/>
          <w:bCs/>
          <w:szCs w:val="24"/>
        </w:rPr>
        <w:t>Contractor Induction</w:t>
      </w:r>
      <w:r w:rsidR="002E31CF" w:rsidRPr="004271D8">
        <w:rPr>
          <w:rFonts w:eastAsia="SymbolMT" w:cs="Arial"/>
          <w:bCs/>
          <w:szCs w:val="24"/>
        </w:rPr>
        <w:t xml:space="preserve"> Checklist</w:t>
      </w:r>
    </w:p>
    <w:p w14:paraId="72072B1A" w14:textId="055F5843" w:rsidR="00241F9D" w:rsidRPr="004271D8" w:rsidRDefault="00241F9D" w:rsidP="00323B52">
      <w:pPr>
        <w:pStyle w:val="ListParagraph"/>
        <w:numPr>
          <w:ilvl w:val="0"/>
          <w:numId w:val="12"/>
        </w:numPr>
        <w:spacing w:before="120"/>
        <w:rPr>
          <w:rFonts w:eastAsia="SymbolMT" w:cs="Arial"/>
          <w:bCs/>
          <w:szCs w:val="24"/>
        </w:rPr>
      </w:pPr>
      <w:r w:rsidRPr="004271D8">
        <w:rPr>
          <w:rFonts w:eastAsia="SymbolMT" w:cs="Arial"/>
          <w:bCs/>
          <w:szCs w:val="24"/>
        </w:rPr>
        <w:t>Code of Ethics</w:t>
      </w:r>
    </w:p>
    <w:p w14:paraId="35C9A568" w14:textId="582C243C" w:rsidR="009D7F9A" w:rsidRPr="004271D8" w:rsidRDefault="009D7F9A" w:rsidP="00323B52">
      <w:pPr>
        <w:pStyle w:val="ListParagraph"/>
        <w:numPr>
          <w:ilvl w:val="0"/>
          <w:numId w:val="12"/>
        </w:numPr>
        <w:spacing w:before="120"/>
        <w:rPr>
          <w:rFonts w:eastAsia="SymbolMT" w:cs="Arial"/>
          <w:bCs/>
          <w:szCs w:val="24"/>
        </w:rPr>
      </w:pPr>
      <w:r w:rsidRPr="004271D8">
        <w:rPr>
          <w:rFonts w:eastAsia="SymbolMT" w:cs="Arial"/>
          <w:bCs/>
          <w:szCs w:val="24"/>
        </w:rPr>
        <w:t>Code of Conduct</w:t>
      </w:r>
    </w:p>
    <w:p w14:paraId="30770244" w14:textId="367A1E95" w:rsidR="009D7F9A" w:rsidRDefault="009D7F9A" w:rsidP="00323B52">
      <w:pPr>
        <w:pStyle w:val="ListParagraph"/>
        <w:numPr>
          <w:ilvl w:val="0"/>
          <w:numId w:val="12"/>
        </w:numPr>
        <w:spacing w:before="120"/>
        <w:rPr>
          <w:rFonts w:eastAsia="SymbolMT" w:cs="Arial"/>
          <w:bCs/>
          <w:szCs w:val="24"/>
        </w:rPr>
      </w:pPr>
      <w:r w:rsidRPr="004271D8">
        <w:rPr>
          <w:rFonts w:eastAsia="SymbolMT" w:cs="Arial"/>
          <w:bCs/>
          <w:szCs w:val="24"/>
        </w:rPr>
        <w:t>WHS</w:t>
      </w:r>
    </w:p>
    <w:p w14:paraId="05F40FC7" w14:textId="70278BFE" w:rsidR="00D91493" w:rsidRDefault="00D91493" w:rsidP="00323B52">
      <w:pPr>
        <w:pStyle w:val="ListParagraph"/>
        <w:numPr>
          <w:ilvl w:val="0"/>
          <w:numId w:val="12"/>
        </w:numPr>
        <w:spacing w:before="120"/>
        <w:rPr>
          <w:rFonts w:eastAsia="SymbolMT" w:cs="Arial"/>
          <w:bCs/>
          <w:szCs w:val="24"/>
        </w:rPr>
      </w:pPr>
      <w:r>
        <w:rPr>
          <w:rFonts w:eastAsia="SymbolMT" w:cs="Arial"/>
          <w:bCs/>
          <w:szCs w:val="24"/>
        </w:rPr>
        <w:t>Reportable Incidents: Detailed Guidance for Registered NDIS Providers June 2019</w:t>
      </w:r>
    </w:p>
    <w:p w14:paraId="38327268" w14:textId="7A6D001F" w:rsidR="00D91493" w:rsidRDefault="00D91493" w:rsidP="00323B52">
      <w:pPr>
        <w:pStyle w:val="ListParagraph"/>
        <w:numPr>
          <w:ilvl w:val="0"/>
          <w:numId w:val="12"/>
        </w:numPr>
        <w:spacing w:before="120"/>
        <w:rPr>
          <w:rFonts w:eastAsia="SymbolMT" w:cs="Arial"/>
          <w:bCs/>
          <w:szCs w:val="24"/>
        </w:rPr>
      </w:pPr>
      <w:r>
        <w:rPr>
          <w:rFonts w:eastAsia="SymbolMT" w:cs="Arial"/>
          <w:bCs/>
          <w:szCs w:val="24"/>
        </w:rPr>
        <w:t>Practice Guide: Expectations of workers providing services in incident management and reporting incidents June 2019</w:t>
      </w:r>
    </w:p>
    <w:p w14:paraId="42AAA3E4" w14:textId="72EF57D2" w:rsidR="00D91493" w:rsidRPr="004271D8" w:rsidRDefault="00D91493" w:rsidP="00323B52">
      <w:pPr>
        <w:pStyle w:val="ListParagraph"/>
        <w:numPr>
          <w:ilvl w:val="0"/>
          <w:numId w:val="12"/>
        </w:numPr>
        <w:spacing w:before="120"/>
        <w:rPr>
          <w:rFonts w:eastAsia="SymbolMT" w:cs="Arial"/>
          <w:bCs/>
          <w:szCs w:val="24"/>
        </w:rPr>
      </w:pPr>
      <w:r>
        <w:rPr>
          <w:rFonts w:eastAsia="SymbolMT" w:cs="Arial"/>
          <w:bCs/>
          <w:szCs w:val="24"/>
        </w:rPr>
        <w:t>NDIS Quality and Safeguards Commission Complaints Management and Resolution Guidance</w:t>
      </w:r>
    </w:p>
    <w:p w14:paraId="799F05F2" w14:textId="767AF40C" w:rsidR="00555B03" w:rsidRPr="00953496" w:rsidRDefault="00F401B4" w:rsidP="007418E1">
      <w:pPr>
        <w:pStyle w:val="Heading3"/>
      </w:pPr>
      <w:bookmarkStart w:id="7" w:name="_Toc510607534"/>
      <w:r w:rsidRPr="00953496">
        <w:t>Legislation</w:t>
      </w:r>
      <w:bookmarkEnd w:id="7"/>
      <w:r w:rsidR="00555B03" w:rsidRPr="00953496">
        <w:t xml:space="preserve"> </w:t>
      </w:r>
    </w:p>
    <w:p w14:paraId="792D3516" w14:textId="41C0F99D" w:rsidR="00E523EB" w:rsidRPr="004271D8" w:rsidRDefault="00E523EB" w:rsidP="002E31CF">
      <w:pPr>
        <w:pStyle w:val="ListParagraph"/>
        <w:numPr>
          <w:ilvl w:val="0"/>
          <w:numId w:val="10"/>
        </w:numPr>
        <w:spacing w:before="120"/>
        <w:rPr>
          <w:rFonts w:eastAsia="SymbolMT" w:cs="Arial"/>
          <w:bCs/>
          <w:color w:val="000000" w:themeColor="text1"/>
          <w:szCs w:val="24"/>
        </w:rPr>
      </w:pPr>
      <w:r w:rsidRPr="004271D8">
        <w:rPr>
          <w:rFonts w:eastAsia="SymbolMT" w:cs="Arial"/>
          <w:bCs/>
          <w:color w:val="000000" w:themeColor="text1"/>
          <w:szCs w:val="24"/>
        </w:rPr>
        <w:t>Fair Work Act 2009 (Commonwealth)</w:t>
      </w:r>
    </w:p>
    <w:p w14:paraId="6437A6D5" w14:textId="3155F4B3" w:rsidR="00E523EB" w:rsidRPr="004271D8" w:rsidRDefault="00E523EB" w:rsidP="002E31CF">
      <w:pPr>
        <w:pStyle w:val="ListParagraph"/>
        <w:numPr>
          <w:ilvl w:val="0"/>
          <w:numId w:val="10"/>
        </w:numPr>
        <w:spacing w:before="120"/>
        <w:rPr>
          <w:rFonts w:eastAsia="SymbolMT" w:cs="Arial"/>
          <w:bCs/>
          <w:color w:val="000000" w:themeColor="text1"/>
          <w:szCs w:val="24"/>
        </w:rPr>
      </w:pPr>
      <w:r w:rsidRPr="004271D8">
        <w:rPr>
          <w:rFonts w:eastAsia="SymbolMT" w:cs="Arial"/>
          <w:bCs/>
          <w:color w:val="000000" w:themeColor="text1"/>
          <w:szCs w:val="24"/>
        </w:rPr>
        <w:t>Fair Work Regulation 2009 (Commonwealth)</w:t>
      </w:r>
    </w:p>
    <w:p w14:paraId="49994A59" w14:textId="0C0608B9" w:rsidR="00E523EB" w:rsidRPr="004271D8" w:rsidRDefault="00E523EB" w:rsidP="002E31CF">
      <w:pPr>
        <w:pStyle w:val="ListParagraph"/>
        <w:numPr>
          <w:ilvl w:val="0"/>
          <w:numId w:val="10"/>
        </w:numPr>
        <w:spacing w:before="120"/>
        <w:rPr>
          <w:rFonts w:eastAsia="SymbolMT" w:cs="Arial"/>
          <w:bCs/>
          <w:color w:val="000000" w:themeColor="text1"/>
          <w:szCs w:val="24"/>
        </w:rPr>
      </w:pPr>
      <w:r w:rsidRPr="004271D8">
        <w:rPr>
          <w:rFonts w:eastAsia="SymbolMT" w:cs="Arial"/>
          <w:bCs/>
          <w:color w:val="000000" w:themeColor="text1"/>
          <w:szCs w:val="24"/>
        </w:rPr>
        <w:t>Work Health and Safety Act 2015</w:t>
      </w:r>
    </w:p>
    <w:p w14:paraId="5E89489E" w14:textId="3B7B8206" w:rsidR="00E523EB" w:rsidRPr="004271D8" w:rsidRDefault="00E523EB" w:rsidP="002E31CF">
      <w:pPr>
        <w:pStyle w:val="ListParagraph"/>
        <w:numPr>
          <w:ilvl w:val="0"/>
          <w:numId w:val="10"/>
        </w:numPr>
        <w:spacing w:before="120"/>
        <w:rPr>
          <w:rFonts w:eastAsia="SymbolMT" w:cs="Arial"/>
          <w:bCs/>
          <w:color w:val="000000" w:themeColor="text1"/>
          <w:szCs w:val="24"/>
        </w:rPr>
      </w:pPr>
      <w:r w:rsidRPr="004271D8">
        <w:rPr>
          <w:rFonts w:eastAsia="SymbolMT" w:cs="Arial"/>
          <w:bCs/>
          <w:color w:val="000000" w:themeColor="text1"/>
          <w:szCs w:val="24"/>
        </w:rPr>
        <w:t>Workplace Injury Management and Workers Compensation Act 1998 No 86</w:t>
      </w:r>
    </w:p>
    <w:p w14:paraId="6EB495B8" w14:textId="5338F65F" w:rsidR="00E523EB" w:rsidRPr="00010D64" w:rsidRDefault="00E523EB" w:rsidP="00E523EB">
      <w:pPr>
        <w:pStyle w:val="ListParagraph"/>
        <w:numPr>
          <w:ilvl w:val="0"/>
          <w:numId w:val="10"/>
        </w:numPr>
        <w:spacing w:before="120"/>
        <w:rPr>
          <w:rFonts w:asciiTheme="minorHAnsi" w:eastAsia="SymbolMT" w:hAnsiTheme="minorHAnsi" w:cs="Arial"/>
          <w:bCs/>
          <w:color w:val="000000" w:themeColor="text1"/>
          <w:szCs w:val="24"/>
        </w:rPr>
      </w:pPr>
      <w:r w:rsidRPr="004271D8">
        <w:rPr>
          <w:rFonts w:eastAsia="SymbolMT" w:cs="Arial"/>
          <w:bCs/>
          <w:color w:val="000000" w:themeColor="text1"/>
          <w:szCs w:val="24"/>
        </w:rPr>
        <w:t>Industrial Relations Act 1996</w:t>
      </w:r>
    </w:p>
    <w:p w14:paraId="5292B82D" w14:textId="24045950" w:rsidR="009A491F" w:rsidRPr="009A491F" w:rsidRDefault="00010D64" w:rsidP="009A491F">
      <w:pPr>
        <w:pStyle w:val="ListParagraph"/>
        <w:numPr>
          <w:ilvl w:val="0"/>
          <w:numId w:val="10"/>
        </w:numPr>
        <w:spacing w:before="120"/>
        <w:rPr>
          <w:rFonts w:asciiTheme="minorHAnsi" w:eastAsia="SymbolMT" w:hAnsiTheme="minorHAnsi" w:cs="Arial"/>
          <w:bCs/>
          <w:color w:val="000000" w:themeColor="text1"/>
          <w:szCs w:val="24"/>
        </w:rPr>
      </w:pPr>
      <w:r>
        <w:rPr>
          <w:rFonts w:eastAsia="SymbolMT" w:cs="Arial"/>
          <w:bCs/>
          <w:color w:val="000000" w:themeColor="text1"/>
          <w:szCs w:val="24"/>
        </w:rPr>
        <w:t>National Disability Insurance Scheme Act 2013</w:t>
      </w:r>
      <w:bookmarkStart w:id="8" w:name="_Toc510607535"/>
    </w:p>
    <w:p w14:paraId="42DE87AB" w14:textId="131E7123" w:rsidR="001C46C8" w:rsidRDefault="008644E6" w:rsidP="00241F9D">
      <w:pPr>
        <w:pStyle w:val="Heading2"/>
      </w:pPr>
      <w:r w:rsidRPr="00323B52">
        <w:t>Procedur</w:t>
      </w:r>
      <w:r w:rsidR="00781492" w:rsidRPr="00323B52">
        <w:t>e</w:t>
      </w:r>
      <w:bookmarkEnd w:id="8"/>
    </w:p>
    <w:p w14:paraId="6A9F7EDC" w14:textId="1D47AA1C" w:rsidR="003259BB" w:rsidRPr="004271D8" w:rsidRDefault="003259BB" w:rsidP="003259BB">
      <w:pPr>
        <w:spacing w:before="120" w:after="0"/>
        <w:rPr>
          <w:rFonts w:ascii="Century Gothic" w:hAnsi="Century Gothic" w:cs="Arial"/>
          <w:b/>
          <w:sz w:val="22"/>
        </w:rPr>
      </w:pPr>
      <w:r w:rsidRPr="004271D8">
        <w:rPr>
          <w:rFonts w:ascii="Century Gothic" w:hAnsi="Century Gothic" w:cs="Arial"/>
          <w:b/>
          <w:sz w:val="22"/>
        </w:rPr>
        <w:t xml:space="preserve">Roles and Responsibilities </w:t>
      </w:r>
    </w:p>
    <w:p w14:paraId="6155BD86" w14:textId="6BD7D852" w:rsidR="003259BB" w:rsidRPr="004271D8" w:rsidRDefault="003259BB" w:rsidP="003259BB">
      <w:pPr>
        <w:spacing w:after="100" w:afterAutospacing="1"/>
        <w:rPr>
          <w:rFonts w:cs="Arial"/>
          <w:szCs w:val="24"/>
        </w:rPr>
      </w:pPr>
      <w:r w:rsidRPr="004271D8">
        <w:rPr>
          <w:rFonts w:cs="Arial"/>
          <w:szCs w:val="24"/>
        </w:rPr>
        <w:t>Contractor</w:t>
      </w:r>
      <w:r w:rsidR="009A491F">
        <w:rPr>
          <w:rFonts w:cs="Arial"/>
          <w:szCs w:val="24"/>
        </w:rPr>
        <w:t>s</w:t>
      </w:r>
    </w:p>
    <w:p w14:paraId="4A680458" w14:textId="5BB8574F" w:rsidR="00C01000" w:rsidRDefault="00C01000" w:rsidP="003259BB">
      <w:pPr>
        <w:spacing w:after="100" w:afterAutospacing="1"/>
        <w:rPr>
          <w:rFonts w:cs="Arial"/>
          <w:szCs w:val="24"/>
        </w:rPr>
      </w:pPr>
      <w:r>
        <w:rPr>
          <w:rFonts w:cs="Arial"/>
          <w:szCs w:val="24"/>
        </w:rPr>
        <w:t>All Contractors will be aware of their responsibilities in relation to incidents, accidents and injuries at work.</w:t>
      </w:r>
    </w:p>
    <w:p w14:paraId="1E022118" w14:textId="2CBEA2FE" w:rsidR="003259BB" w:rsidRDefault="003259BB" w:rsidP="003259BB">
      <w:pPr>
        <w:spacing w:after="100" w:afterAutospacing="1"/>
        <w:rPr>
          <w:rFonts w:cs="Arial"/>
          <w:szCs w:val="24"/>
        </w:rPr>
      </w:pPr>
      <w:r w:rsidRPr="004271D8">
        <w:rPr>
          <w:rFonts w:cs="Arial"/>
          <w:szCs w:val="24"/>
        </w:rPr>
        <w:t xml:space="preserve">A </w:t>
      </w:r>
      <w:r w:rsidR="00D75962">
        <w:rPr>
          <w:rFonts w:cs="Arial"/>
          <w:szCs w:val="24"/>
        </w:rPr>
        <w:t>C</w:t>
      </w:r>
      <w:r w:rsidRPr="004271D8">
        <w:rPr>
          <w:rFonts w:cs="Arial"/>
          <w:szCs w:val="24"/>
        </w:rPr>
        <w:t xml:space="preserve">ontractor who sustains an injury or becomes ill as a result of workplace conditions or work activity must verbally report the injury or illness to a </w:t>
      </w:r>
      <w:proofErr w:type="gramStart"/>
      <w:r w:rsidRPr="004271D8">
        <w:rPr>
          <w:rFonts w:cs="Arial"/>
          <w:i/>
          <w:szCs w:val="24"/>
        </w:rPr>
        <w:t>futures</w:t>
      </w:r>
      <w:proofErr w:type="gramEnd"/>
      <w:r w:rsidRPr="004271D8">
        <w:rPr>
          <w:rFonts w:cs="Arial"/>
          <w:i/>
          <w:szCs w:val="24"/>
        </w:rPr>
        <w:t xml:space="preserve"> in sight</w:t>
      </w:r>
      <w:r w:rsidR="00C01000">
        <w:rPr>
          <w:rFonts w:cs="Arial"/>
          <w:szCs w:val="24"/>
        </w:rPr>
        <w:t xml:space="preserve"> Partner as soon as practicable.</w:t>
      </w:r>
    </w:p>
    <w:p w14:paraId="02BA750F" w14:textId="46297174" w:rsidR="00B520D2" w:rsidRDefault="00DC63C0" w:rsidP="00DC63C0">
      <w:pPr>
        <w:spacing w:after="100" w:afterAutospacing="1"/>
        <w:rPr>
          <w:rFonts w:cs="Arial"/>
          <w:szCs w:val="24"/>
        </w:rPr>
      </w:pPr>
      <w:r>
        <w:rPr>
          <w:rFonts w:cs="Arial"/>
          <w:szCs w:val="24"/>
        </w:rPr>
        <w:t xml:space="preserve">A Contractor </w:t>
      </w:r>
      <w:r w:rsidR="002E2060">
        <w:rPr>
          <w:rFonts w:cs="Arial"/>
          <w:szCs w:val="24"/>
        </w:rPr>
        <w:t xml:space="preserve">must immediately report the incident to a </w:t>
      </w:r>
      <w:r w:rsidR="002E2060" w:rsidRPr="001A0A44">
        <w:rPr>
          <w:rFonts w:cs="Arial"/>
          <w:i/>
          <w:szCs w:val="24"/>
        </w:rPr>
        <w:t>futures in sight</w:t>
      </w:r>
      <w:r w:rsidR="002E2060">
        <w:rPr>
          <w:rFonts w:cs="Arial"/>
          <w:i/>
          <w:szCs w:val="24"/>
        </w:rPr>
        <w:t xml:space="preserve"> </w:t>
      </w:r>
      <w:r w:rsidR="002E2060">
        <w:rPr>
          <w:rFonts w:cs="Arial"/>
          <w:szCs w:val="24"/>
        </w:rPr>
        <w:t xml:space="preserve">Partner as soon as they </w:t>
      </w:r>
      <w:r>
        <w:rPr>
          <w:rFonts w:cs="Arial"/>
          <w:szCs w:val="24"/>
        </w:rPr>
        <w:t>become aware of any Reportable Incident including</w:t>
      </w:r>
      <w:r w:rsidR="001A0A44">
        <w:rPr>
          <w:rFonts w:cs="Arial"/>
          <w:szCs w:val="24"/>
        </w:rPr>
        <w:t>:</w:t>
      </w:r>
      <w:r w:rsidR="001A0A44">
        <w:rPr>
          <w:rFonts w:cs="Arial"/>
          <w:szCs w:val="24"/>
        </w:rPr>
        <w:br/>
      </w:r>
      <w:r w:rsidRPr="00DC63C0">
        <w:rPr>
          <w:rFonts w:cs="Arial"/>
          <w:szCs w:val="24"/>
        </w:rPr>
        <w:t>• The death of a person with disability.</w:t>
      </w:r>
      <w:r>
        <w:rPr>
          <w:rFonts w:cs="Arial"/>
          <w:szCs w:val="24"/>
        </w:rPr>
        <w:br/>
      </w:r>
      <w:r w:rsidRPr="00DC63C0">
        <w:rPr>
          <w:rFonts w:cs="Arial"/>
          <w:szCs w:val="24"/>
        </w:rPr>
        <w:t>• Serious injury of a person with disability.</w:t>
      </w:r>
      <w:r>
        <w:rPr>
          <w:rFonts w:cs="Arial"/>
          <w:szCs w:val="24"/>
        </w:rPr>
        <w:br/>
      </w:r>
      <w:r w:rsidRPr="00DC63C0">
        <w:rPr>
          <w:rFonts w:cs="Arial"/>
          <w:szCs w:val="24"/>
        </w:rPr>
        <w:t>• Abuse or neglect of a person with disability.</w:t>
      </w:r>
      <w:r>
        <w:rPr>
          <w:rFonts w:cs="Arial"/>
          <w:szCs w:val="24"/>
        </w:rPr>
        <w:br/>
      </w:r>
      <w:r w:rsidRPr="00DC63C0">
        <w:rPr>
          <w:rFonts w:cs="Arial"/>
          <w:szCs w:val="24"/>
        </w:rPr>
        <w:t xml:space="preserve">• Unlawful sexual or physical contact with, or assault of, a person with disability </w:t>
      </w:r>
      <w:r>
        <w:rPr>
          <w:rFonts w:cs="Arial"/>
          <w:szCs w:val="24"/>
        </w:rPr>
        <w:br/>
      </w:r>
      <w:r w:rsidRPr="00DC63C0">
        <w:rPr>
          <w:rFonts w:cs="Arial"/>
          <w:szCs w:val="24"/>
        </w:rPr>
        <w:lastRenderedPageBreak/>
        <w:t>• Sexual misconduct committed against, or in the presence of, a person with disability, including grooming of the person for sexual activity.</w:t>
      </w:r>
      <w:r>
        <w:rPr>
          <w:rFonts w:cs="Arial"/>
          <w:szCs w:val="24"/>
        </w:rPr>
        <w:br/>
      </w:r>
      <w:r w:rsidRPr="00DC63C0">
        <w:rPr>
          <w:rFonts w:cs="Arial"/>
          <w:szCs w:val="24"/>
        </w:rPr>
        <w:t>• The use of an unauthorised restrictive practice in relation to</w:t>
      </w:r>
      <w:r>
        <w:rPr>
          <w:rFonts w:cs="Arial"/>
          <w:szCs w:val="24"/>
        </w:rPr>
        <w:t xml:space="preserve"> a person with disability</w:t>
      </w:r>
      <w:r w:rsidR="001A0A44">
        <w:rPr>
          <w:rFonts w:cs="Arial"/>
          <w:szCs w:val="24"/>
        </w:rPr>
        <w:t>.</w:t>
      </w:r>
    </w:p>
    <w:p w14:paraId="056BB317" w14:textId="1C1C7B92" w:rsidR="001A0A44" w:rsidRDefault="00B520D2" w:rsidP="00B40CE5">
      <w:pPr>
        <w:spacing w:after="100" w:afterAutospacing="1"/>
        <w:rPr>
          <w:rFonts w:cs="Arial"/>
          <w:szCs w:val="24"/>
        </w:rPr>
      </w:pPr>
      <w:r>
        <w:rPr>
          <w:rFonts w:cs="Arial"/>
          <w:szCs w:val="24"/>
        </w:rPr>
        <w:t xml:space="preserve">The Contractor will fill in the Incident Report form and provide it to the </w:t>
      </w:r>
      <w:r w:rsidRPr="00B520D2">
        <w:rPr>
          <w:rFonts w:cs="Arial"/>
          <w:i/>
          <w:szCs w:val="24"/>
        </w:rPr>
        <w:t>futures in sight</w:t>
      </w:r>
      <w:r>
        <w:rPr>
          <w:rFonts w:cs="Arial"/>
          <w:szCs w:val="24"/>
        </w:rPr>
        <w:t xml:space="preserve"> Partner.</w:t>
      </w:r>
    </w:p>
    <w:p w14:paraId="2A7226B0" w14:textId="6957E422" w:rsidR="003259BB" w:rsidRPr="00B40CE5" w:rsidRDefault="003259BB" w:rsidP="003259BB">
      <w:pPr>
        <w:spacing w:after="0"/>
        <w:rPr>
          <w:rFonts w:cs="Arial"/>
          <w:b/>
          <w:bCs/>
          <w:szCs w:val="24"/>
        </w:rPr>
      </w:pPr>
      <w:r w:rsidRPr="00B40CE5">
        <w:rPr>
          <w:rFonts w:cs="Arial"/>
          <w:b/>
          <w:bCs/>
          <w:szCs w:val="24"/>
        </w:rPr>
        <w:t>Partner</w:t>
      </w:r>
      <w:r w:rsidR="009A491F" w:rsidRPr="00B40CE5">
        <w:rPr>
          <w:rFonts w:cs="Arial"/>
          <w:b/>
          <w:bCs/>
          <w:szCs w:val="24"/>
        </w:rPr>
        <w:t>s</w:t>
      </w:r>
    </w:p>
    <w:p w14:paraId="49FA5BF2" w14:textId="4FBAC3F3" w:rsidR="00C01000" w:rsidRDefault="00C01000" w:rsidP="00C01000">
      <w:pPr>
        <w:spacing w:after="0"/>
        <w:rPr>
          <w:rFonts w:cs="Arial"/>
          <w:szCs w:val="24"/>
        </w:rPr>
      </w:pPr>
      <w:r w:rsidRPr="00C01000">
        <w:rPr>
          <w:rFonts w:cs="Arial"/>
          <w:i/>
          <w:szCs w:val="24"/>
        </w:rPr>
        <w:t>futures in sight</w:t>
      </w:r>
      <w:r>
        <w:rPr>
          <w:rFonts w:cs="Arial"/>
          <w:szCs w:val="24"/>
        </w:rPr>
        <w:t xml:space="preserve"> Partners will ensure that all Contractors doing work on behalf of </w:t>
      </w:r>
      <w:r w:rsidRPr="00C01000">
        <w:rPr>
          <w:rFonts w:cs="Arial"/>
          <w:i/>
          <w:szCs w:val="24"/>
        </w:rPr>
        <w:t>futures in sight</w:t>
      </w:r>
      <w:r>
        <w:rPr>
          <w:rFonts w:cs="Arial"/>
          <w:szCs w:val="24"/>
        </w:rPr>
        <w:t xml:space="preserve"> are familiar with their reporting responsibilities </w:t>
      </w:r>
      <w:r w:rsidR="002E2060">
        <w:rPr>
          <w:rFonts w:cs="Arial"/>
          <w:szCs w:val="24"/>
        </w:rPr>
        <w:t xml:space="preserve">as well as </w:t>
      </w:r>
      <w:r>
        <w:rPr>
          <w:rFonts w:cs="Arial"/>
          <w:szCs w:val="24"/>
        </w:rPr>
        <w:t>the expectations of the NDIS Quality and Safeguards Commission in relation to incidents involving participants (</w:t>
      </w:r>
      <w:r w:rsidRPr="00C01000">
        <w:rPr>
          <w:rFonts w:cs="Arial"/>
          <w:szCs w:val="24"/>
        </w:rPr>
        <w:t>Practice guide</w:t>
      </w:r>
      <w:r>
        <w:rPr>
          <w:rFonts w:cs="Arial"/>
          <w:szCs w:val="24"/>
        </w:rPr>
        <w:t xml:space="preserve"> - </w:t>
      </w:r>
      <w:r w:rsidRPr="00C01000">
        <w:rPr>
          <w:rFonts w:cs="Arial"/>
          <w:szCs w:val="24"/>
        </w:rPr>
        <w:t>Expectations of workers providing services in incident management and reporting incidents</w:t>
      </w:r>
      <w:r>
        <w:rPr>
          <w:rFonts w:cs="Arial"/>
          <w:szCs w:val="24"/>
        </w:rPr>
        <w:t xml:space="preserve"> </w:t>
      </w:r>
      <w:r w:rsidRPr="00C01000">
        <w:rPr>
          <w:rFonts w:cs="Arial"/>
          <w:szCs w:val="24"/>
        </w:rPr>
        <w:t>June 2019</w:t>
      </w:r>
      <w:r>
        <w:rPr>
          <w:rFonts w:cs="Arial"/>
          <w:szCs w:val="24"/>
        </w:rPr>
        <w:t>)</w:t>
      </w:r>
    </w:p>
    <w:p w14:paraId="3023CC11" w14:textId="77777777" w:rsidR="00C01000" w:rsidRDefault="00C01000" w:rsidP="00C01000">
      <w:pPr>
        <w:spacing w:after="0"/>
        <w:rPr>
          <w:rFonts w:cs="Arial"/>
          <w:szCs w:val="24"/>
        </w:rPr>
      </w:pPr>
    </w:p>
    <w:p w14:paraId="1CAF0D86" w14:textId="197F4DF2" w:rsidR="003259BB" w:rsidRPr="004271D8" w:rsidRDefault="00DC63C0" w:rsidP="003259BB">
      <w:pPr>
        <w:spacing w:after="0"/>
        <w:rPr>
          <w:rFonts w:cs="Arial"/>
          <w:szCs w:val="24"/>
        </w:rPr>
      </w:pPr>
      <w:r>
        <w:rPr>
          <w:rFonts w:cs="Arial"/>
          <w:szCs w:val="24"/>
        </w:rPr>
        <w:t>The P</w:t>
      </w:r>
      <w:r w:rsidR="003259BB" w:rsidRPr="004271D8">
        <w:rPr>
          <w:rFonts w:cs="Arial"/>
          <w:szCs w:val="24"/>
        </w:rPr>
        <w:t>ar</w:t>
      </w:r>
      <w:r>
        <w:rPr>
          <w:rFonts w:cs="Arial"/>
          <w:szCs w:val="24"/>
        </w:rPr>
        <w:t xml:space="preserve">tner upon being notified of the </w:t>
      </w:r>
      <w:r w:rsidR="002E2060">
        <w:rPr>
          <w:rFonts w:cs="Arial"/>
          <w:szCs w:val="24"/>
        </w:rPr>
        <w:t xml:space="preserve">incident, </w:t>
      </w:r>
      <w:r w:rsidR="003259BB" w:rsidRPr="004271D8">
        <w:rPr>
          <w:rFonts w:cs="Arial"/>
          <w:szCs w:val="24"/>
        </w:rPr>
        <w:t>injury or illness must:</w:t>
      </w:r>
    </w:p>
    <w:p w14:paraId="2EE3238E" w14:textId="45B1A14F" w:rsidR="003259BB" w:rsidRPr="004271D8" w:rsidRDefault="003259BB" w:rsidP="003259BB">
      <w:pPr>
        <w:pStyle w:val="ListParagraph"/>
        <w:numPr>
          <w:ilvl w:val="0"/>
          <w:numId w:val="20"/>
        </w:numPr>
        <w:spacing w:after="100" w:afterAutospacing="1"/>
        <w:rPr>
          <w:rFonts w:cs="Arial"/>
          <w:szCs w:val="24"/>
        </w:rPr>
      </w:pPr>
      <w:r w:rsidRPr="004271D8">
        <w:rPr>
          <w:rFonts w:cs="Arial"/>
          <w:szCs w:val="24"/>
        </w:rPr>
        <w:t xml:space="preserve">Ensure that the </w:t>
      </w:r>
      <w:r w:rsidR="00D75962">
        <w:rPr>
          <w:rFonts w:cs="Arial"/>
          <w:szCs w:val="24"/>
        </w:rPr>
        <w:t>C</w:t>
      </w:r>
      <w:r w:rsidRPr="004271D8">
        <w:rPr>
          <w:rFonts w:cs="Arial"/>
          <w:szCs w:val="24"/>
        </w:rPr>
        <w:t xml:space="preserve">ontractor </w:t>
      </w:r>
      <w:r w:rsidR="002E2060">
        <w:rPr>
          <w:rFonts w:cs="Arial"/>
          <w:szCs w:val="24"/>
        </w:rPr>
        <w:t xml:space="preserve">and/or participant </w:t>
      </w:r>
      <w:r w:rsidRPr="004271D8">
        <w:rPr>
          <w:rFonts w:cs="Arial"/>
          <w:szCs w:val="24"/>
        </w:rPr>
        <w:t>is safe and has received appropriate medical treatment</w:t>
      </w:r>
    </w:p>
    <w:p w14:paraId="38FEEBE8" w14:textId="110CD776" w:rsidR="003259BB" w:rsidRDefault="002E2060" w:rsidP="003259BB">
      <w:pPr>
        <w:pStyle w:val="ListParagraph"/>
        <w:numPr>
          <w:ilvl w:val="0"/>
          <w:numId w:val="20"/>
        </w:numPr>
        <w:spacing w:after="100" w:afterAutospacing="1"/>
        <w:rPr>
          <w:rFonts w:cs="Arial"/>
          <w:szCs w:val="24"/>
        </w:rPr>
      </w:pPr>
      <w:r>
        <w:rPr>
          <w:rFonts w:cs="Arial"/>
          <w:szCs w:val="24"/>
        </w:rPr>
        <w:t>Ensure c</w:t>
      </w:r>
      <w:r w:rsidR="003259BB" w:rsidRPr="004271D8">
        <w:rPr>
          <w:rFonts w:cs="Arial"/>
          <w:szCs w:val="24"/>
        </w:rPr>
        <w:t>o</w:t>
      </w:r>
      <w:r w:rsidR="009F1311" w:rsidRPr="004271D8">
        <w:rPr>
          <w:rFonts w:cs="Arial"/>
          <w:szCs w:val="24"/>
        </w:rPr>
        <w:t>mplet</w:t>
      </w:r>
      <w:r>
        <w:rPr>
          <w:rFonts w:cs="Arial"/>
          <w:szCs w:val="24"/>
        </w:rPr>
        <w:t xml:space="preserve">ion of the </w:t>
      </w:r>
      <w:r w:rsidR="009F1311" w:rsidRPr="004271D8">
        <w:rPr>
          <w:rFonts w:cs="Arial"/>
          <w:szCs w:val="24"/>
        </w:rPr>
        <w:t>register of accident, incidents and injuries</w:t>
      </w:r>
      <w:r w:rsidR="00DC63C0">
        <w:rPr>
          <w:rFonts w:cs="Arial"/>
          <w:szCs w:val="24"/>
        </w:rPr>
        <w:t xml:space="preserve"> and</w:t>
      </w:r>
    </w:p>
    <w:p w14:paraId="199D25CE" w14:textId="77777777" w:rsidR="002E2060" w:rsidRDefault="00C01000" w:rsidP="002E2060">
      <w:pPr>
        <w:spacing w:after="100" w:afterAutospacing="1"/>
        <w:rPr>
          <w:rFonts w:cs="Arial"/>
          <w:szCs w:val="24"/>
        </w:rPr>
      </w:pPr>
      <w:r w:rsidRPr="002E2060">
        <w:rPr>
          <w:rFonts w:cs="Arial"/>
          <w:szCs w:val="24"/>
        </w:rPr>
        <w:t>Partners being notified of any Reportable In</w:t>
      </w:r>
      <w:r w:rsidR="002E2060" w:rsidRPr="002E2060">
        <w:rPr>
          <w:rFonts w:cs="Arial"/>
          <w:szCs w:val="24"/>
        </w:rPr>
        <w:t>cident</w:t>
      </w:r>
      <w:r w:rsidRPr="002E2060">
        <w:rPr>
          <w:rFonts w:cs="Arial"/>
          <w:szCs w:val="24"/>
        </w:rPr>
        <w:t xml:space="preserve"> wi</w:t>
      </w:r>
      <w:r w:rsidR="002E2060" w:rsidRPr="002E2060">
        <w:rPr>
          <w:rFonts w:cs="Arial"/>
          <w:szCs w:val="24"/>
        </w:rPr>
        <w:t>ll</w:t>
      </w:r>
      <w:r w:rsidRPr="002E2060">
        <w:rPr>
          <w:rFonts w:cs="Arial"/>
          <w:szCs w:val="24"/>
        </w:rPr>
        <w:t>:</w:t>
      </w:r>
    </w:p>
    <w:p w14:paraId="495AFA53" w14:textId="77777777" w:rsidR="002E2060" w:rsidRDefault="00C01000" w:rsidP="002E2060">
      <w:pPr>
        <w:pStyle w:val="ListParagraph"/>
        <w:numPr>
          <w:ilvl w:val="0"/>
          <w:numId w:val="21"/>
        </w:numPr>
        <w:spacing w:after="100" w:afterAutospacing="1"/>
        <w:rPr>
          <w:rFonts w:cs="Arial"/>
          <w:szCs w:val="24"/>
        </w:rPr>
      </w:pPr>
      <w:r w:rsidRPr="002E2060">
        <w:rPr>
          <w:rFonts w:cs="Arial"/>
          <w:szCs w:val="24"/>
        </w:rPr>
        <w:t>Immediately notify the provider of the service responsible for the support to the participant</w:t>
      </w:r>
    </w:p>
    <w:p w14:paraId="3C600C30" w14:textId="22872EC8" w:rsidR="002E2060" w:rsidRDefault="009A491F" w:rsidP="002E2060">
      <w:pPr>
        <w:pStyle w:val="ListParagraph"/>
        <w:numPr>
          <w:ilvl w:val="0"/>
          <w:numId w:val="21"/>
        </w:numPr>
        <w:spacing w:after="100" w:afterAutospacing="1"/>
        <w:rPr>
          <w:rFonts w:cs="Arial"/>
          <w:szCs w:val="24"/>
        </w:rPr>
      </w:pPr>
      <w:r>
        <w:rPr>
          <w:rFonts w:cs="Arial"/>
          <w:szCs w:val="24"/>
        </w:rPr>
        <w:t>Within 24 hours n</w:t>
      </w:r>
      <w:r w:rsidR="002E2060" w:rsidRPr="002E2060">
        <w:rPr>
          <w:rFonts w:cs="Arial"/>
          <w:szCs w:val="24"/>
        </w:rPr>
        <w:t xml:space="preserve">otify the </w:t>
      </w:r>
      <w:r w:rsidR="00C01000" w:rsidRPr="002E2060">
        <w:rPr>
          <w:rFonts w:cs="Arial"/>
          <w:szCs w:val="24"/>
        </w:rPr>
        <w:t>NDIS Quality and Safeguards Commission</w:t>
      </w:r>
      <w:r w:rsidR="00327DC3">
        <w:rPr>
          <w:rFonts w:cs="Arial"/>
          <w:szCs w:val="24"/>
        </w:rPr>
        <w:t xml:space="preserve"> </w:t>
      </w:r>
      <w:r w:rsidR="00FF1F77">
        <w:rPr>
          <w:rFonts w:cs="Arial"/>
          <w:szCs w:val="24"/>
        </w:rPr>
        <w:t>and other relevant bodies (</w:t>
      </w:r>
      <w:proofErr w:type="spellStart"/>
      <w:r w:rsidR="00FF1F77">
        <w:rPr>
          <w:rFonts w:cs="Arial"/>
          <w:szCs w:val="24"/>
        </w:rPr>
        <w:t>ie</w:t>
      </w:r>
      <w:proofErr w:type="spellEnd"/>
      <w:r w:rsidR="00FF1F77">
        <w:rPr>
          <w:rFonts w:cs="Arial"/>
          <w:szCs w:val="24"/>
        </w:rPr>
        <w:t xml:space="preserve"> NSW Police) </w:t>
      </w:r>
      <w:r w:rsidR="00BE2440">
        <w:rPr>
          <w:rFonts w:cs="Arial"/>
          <w:szCs w:val="24"/>
        </w:rPr>
        <w:t xml:space="preserve">of </w:t>
      </w:r>
      <w:r w:rsidR="00FF1F77">
        <w:rPr>
          <w:rFonts w:cs="Arial"/>
          <w:szCs w:val="24"/>
        </w:rPr>
        <w:t>the incident</w:t>
      </w:r>
    </w:p>
    <w:p w14:paraId="3A9232CF" w14:textId="61B7A687" w:rsidR="00C01000" w:rsidRDefault="002E2060" w:rsidP="002E2060">
      <w:pPr>
        <w:pStyle w:val="ListParagraph"/>
        <w:numPr>
          <w:ilvl w:val="0"/>
          <w:numId w:val="21"/>
        </w:numPr>
        <w:spacing w:after="100" w:afterAutospacing="1"/>
        <w:rPr>
          <w:rFonts w:cs="Arial"/>
          <w:szCs w:val="24"/>
        </w:rPr>
      </w:pPr>
      <w:r w:rsidRPr="002E2060">
        <w:rPr>
          <w:rFonts w:cs="Arial"/>
          <w:szCs w:val="24"/>
        </w:rPr>
        <w:t>Notify t</w:t>
      </w:r>
      <w:r w:rsidR="00C01000" w:rsidRPr="002E2060">
        <w:rPr>
          <w:rFonts w:cs="Arial"/>
          <w:szCs w:val="24"/>
        </w:rPr>
        <w:t xml:space="preserve">he other </w:t>
      </w:r>
      <w:r w:rsidR="00C01000" w:rsidRPr="002E2060">
        <w:rPr>
          <w:rFonts w:cs="Arial"/>
          <w:i/>
          <w:szCs w:val="24"/>
        </w:rPr>
        <w:t>futures in sight</w:t>
      </w:r>
      <w:r w:rsidR="00C01000" w:rsidRPr="002E2060">
        <w:rPr>
          <w:rFonts w:cs="Arial"/>
          <w:szCs w:val="24"/>
        </w:rPr>
        <w:t xml:space="preserve"> Partners as soon as practicab</w:t>
      </w:r>
      <w:r>
        <w:rPr>
          <w:rFonts w:cs="Arial"/>
          <w:szCs w:val="24"/>
        </w:rPr>
        <w:t>le</w:t>
      </w:r>
    </w:p>
    <w:p w14:paraId="5D7C84C0" w14:textId="070C8143" w:rsidR="003E27F5" w:rsidRDefault="003E27F5" w:rsidP="002E2060">
      <w:pPr>
        <w:pStyle w:val="ListParagraph"/>
        <w:numPr>
          <w:ilvl w:val="0"/>
          <w:numId w:val="21"/>
        </w:numPr>
        <w:spacing w:after="100" w:afterAutospacing="1"/>
        <w:rPr>
          <w:rFonts w:cs="Arial"/>
          <w:szCs w:val="24"/>
        </w:rPr>
      </w:pPr>
      <w:r>
        <w:rPr>
          <w:rFonts w:cs="Arial"/>
          <w:szCs w:val="24"/>
        </w:rPr>
        <w:t>Submit a 5 day form within 5 business days to the NDIS Commission</w:t>
      </w:r>
    </w:p>
    <w:p w14:paraId="05C7ABC1" w14:textId="6278E4A4" w:rsidR="00DA691F" w:rsidRPr="002E2060" w:rsidRDefault="00DA691F" w:rsidP="002E2060">
      <w:pPr>
        <w:pStyle w:val="ListParagraph"/>
        <w:numPr>
          <w:ilvl w:val="0"/>
          <w:numId w:val="21"/>
        </w:numPr>
        <w:spacing w:after="100" w:afterAutospacing="1"/>
        <w:rPr>
          <w:rFonts w:cs="Arial"/>
          <w:szCs w:val="24"/>
        </w:rPr>
      </w:pPr>
      <w:r>
        <w:rPr>
          <w:rFonts w:cs="Arial"/>
          <w:szCs w:val="24"/>
        </w:rPr>
        <w:t>If required, submit a final report to the NDIS Commission</w:t>
      </w:r>
    </w:p>
    <w:p w14:paraId="5F0739AC" w14:textId="2E556B54" w:rsidR="00DC63C0" w:rsidRPr="00DC63C0" w:rsidRDefault="002E2060" w:rsidP="00DC63C0">
      <w:pPr>
        <w:spacing w:after="100" w:afterAutospacing="1"/>
        <w:rPr>
          <w:rFonts w:cs="Arial"/>
          <w:szCs w:val="24"/>
        </w:rPr>
      </w:pPr>
      <w:r w:rsidRPr="002E2060">
        <w:rPr>
          <w:rFonts w:cs="Arial"/>
          <w:szCs w:val="24"/>
        </w:rPr>
        <w:t xml:space="preserve">All incidents, accidents and injuries will be discussed at the next </w:t>
      </w:r>
      <w:r>
        <w:rPr>
          <w:rFonts w:cs="Arial"/>
          <w:szCs w:val="24"/>
        </w:rPr>
        <w:t xml:space="preserve">practicable </w:t>
      </w:r>
      <w:r w:rsidRPr="002E2060">
        <w:rPr>
          <w:rFonts w:cs="Arial"/>
          <w:szCs w:val="24"/>
        </w:rPr>
        <w:t>Partner meeting and any actions arising recorded in the minutes of the meeting.</w:t>
      </w:r>
    </w:p>
    <w:p w14:paraId="0A48F4AC" w14:textId="0A7021BE" w:rsidR="003259BB" w:rsidRPr="009F1311" w:rsidRDefault="009F1311" w:rsidP="00B40CE5">
      <w:pPr>
        <w:pStyle w:val="Heading2"/>
      </w:pPr>
      <w:r w:rsidRPr="009F1311">
        <w:t xml:space="preserve">Register of </w:t>
      </w:r>
      <w:r w:rsidR="00C01000">
        <w:t xml:space="preserve">Incidents, </w:t>
      </w:r>
      <w:r w:rsidRPr="009F1311">
        <w:t>Accidents and Injuries</w:t>
      </w:r>
    </w:p>
    <w:p w14:paraId="543775C4" w14:textId="30042599" w:rsidR="000E522B" w:rsidRPr="004271D8" w:rsidRDefault="00B520D2" w:rsidP="002E31CF">
      <w:pPr>
        <w:spacing w:before="120" w:after="100" w:afterAutospacing="1"/>
        <w:rPr>
          <w:rFonts w:cs="Arial"/>
          <w:szCs w:val="24"/>
        </w:rPr>
      </w:pPr>
      <w:r>
        <w:rPr>
          <w:rFonts w:cs="Arial"/>
          <w:szCs w:val="24"/>
        </w:rPr>
        <w:t xml:space="preserve">All Incident Report forms and the </w:t>
      </w:r>
      <w:r w:rsidR="000E522B" w:rsidRPr="004271D8">
        <w:rPr>
          <w:rFonts w:cs="Arial"/>
          <w:szCs w:val="24"/>
        </w:rPr>
        <w:t xml:space="preserve">register of </w:t>
      </w:r>
      <w:r w:rsidR="00C01000">
        <w:rPr>
          <w:rFonts w:cs="Arial"/>
          <w:szCs w:val="24"/>
        </w:rPr>
        <w:t xml:space="preserve">incidents, </w:t>
      </w:r>
      <w:r w:rsidR="000E522B" w:rsidRPr="004271D8">
        <w:rPr>
          <w:rFonts w:cs="Arial"/>
          <w:szCs w:val="24"/>
        </w:rPr>
        <w:t xml:space="preserve">accidents and injuries will be kept in electronic form at </w:t>
      </w:r>
      <w:r w:rsidR="000E522B" w:rsidRPr="004271D8">
        <w:rPr>
          <w:rFonts w:cs="Arial"/>
          <w:i/>
          <w:szCs w:val="24"/>
        </w:rPr>
        <w:t>futures in sight</w:t>
      </w:r>
      <w:r w:rsidR="000E522B" w:rsidRPr="004271D8">
        <w:rPr>
          <w:rFonts w:cs="Arial"/>
          <w:szCs w:val="24"/>
        </w:rPr>
        <w:t xml:space="preserve">.  </w:t>
      </w:r>
    </w:p>
    <w:p w14:paraId="1734F0DF" w14:textId="5A763A1C" w:rsidR="00D75962" w:rsidRDefault="000E522B" w:rsidP="002E31CF">
      <w:pPr>
        <w:spacing w:before="120" w:after="100" w:afterAutospacing="1"/>
        <w:rPr>
          <w:rFonts w:cs="Arial"/>
          <w:szCs w:val="24"/>
        </w:rPr>
      </w:pPr>
      <w:r w:rsidRPr="004271D8">
        <w:rPr>
          <w:rFonts w:cs="Arial"/>
          <w:szCs w:val="24"/>
        </w:rPr>
        <w:t xml:space="preserve">All </w:t>
      </w:r>
      <w:r w:rsidRPr="004271D8">
        <w:rPr>
          <w:rFonts w:cs="Arial"/>
          <w:i/>
          <w:szCs w:val="24"/>
        </w:rPr>
        <w:t>futures in sight</w:t>
      </w:r>
      <w:r w:rsidRPr="004271D8">
        <w:rPr>
          <w:rFonts w:cs="Arial"/>
          <w:szCs w:val="24"/>
        </w:rPr>
        <w:t xml:space="preserve"> </w:t>
      </w:r>
      <w:r w:rsidR="00D75962">
        <w:rPr>
          <w:rFonts w:cs="Arial"/>
          <w:szCs w:val="24"/>
        </w:rPr>
        <w:t>C</w:t>
      </w:r>
      <w:r w:rsidRPr="004271D8">
        <w:rPr>
          <w:rFonts w:cs="Arial"/>
          <w:szCs w:val="24"/>
        </w:rPr>
        <w:t>ontactors will be given information on where to locate the</w:t>
      </w:r>
      <w:r w:rsidR="00B520D2">
        <w:rPr>
          <w:rFonts w:cs="Arial"/>
          <w:szCs w:val="24"/>
        </w:rPr>
        <w:t xml:space="preserve"> form and the registry and how and when to use them</w:t>
      </w:r>
      <w:r w:rsidRPr="004271D8">
        <w:rPr>
          <w:rFonts w:cs="Arial"/>
          <w:szCs w:val="24"/>
        </w:rPr>
        <w:t xml:space="preserve">.  </w:t>
      </w:r>
    </w:p>
    <w:p w14:paraId="730F0A48" w14:textId="650963D7" w:rsidR="006A1FCE" w:rsidRPr="004271D8" w:rsidRDefault="000E522B" w:rsidP="002E31CF">
      <w:pPr>
        <w:spacing w:before="120" w:after="100" w:afterAutospacing="1"/>
        <w:rPr>
          <w:rFonts w:cs="Arial"/>
          <w:szCs w:val="24"/>
        </w:rPr>
      </w:pPr>
      <w:r w:rsidRPr="004271D8">
        <w:rPr>
          <w:rFonts w:cs="Arial"/>
          <w:szCs w:val="24"/>
        </w:rPr>
        <w:lastRenderedPageBreak/>
        <w:t>Contractors are encouraged to report and record ‘near misses’ which will be considered as a warning sign.</w:t>
      </w:r>
    </w:p>
    <w:p w14:paraId="0A0186E2" w14:textId="73A70AF2" w:rsidR="00E523EB" w:rsidRDefault="000E522B" w:rsidP="002E31CF">
      <w:pPr>
        <w:spacing w:before="120" w:after="100" w:afterAutospacing="1"/>
        <w:rPr>
          <w:rFonts w:cs="Arial"/>
          <w:szCs w:val="24"/>
        </w:rPr>
      </w:pPr>
      <w:r w:rsidRPr="004271D8">
        <w:rPr>
          <w:rFonts w:cs="Arial"/>
          <w:szCs w:val="24"/>
        </w:rPr>
        <w:t>The register will be in the following form:</w:t>
      </w:r>
    </w:p>
    <w:tbl>
      <w:tblPr>
        <w:tblStyle w:val="TableGrid"/>
        <w:tblW w:w="0" w:type="auto"/>
        <w:tblLook w:val="04A0" w:firstRow="1" w:lastRow="0" w:firstColumn="1" w:lastColumn="0" w:noHBand="0" w:noVBand="1"/>
      </w:tblPr>
      <w:tblGrid>
        <w:gridCol w:w="1249"/>
        <w:gridCol w:w="1027"/>
        <w:gridCol w:w="779"/>
        <w:gridCol w:w="1375"/>
        <w:gridCol w:w="1093"/>
        <w:gridCol w:w="779"/>
        <w:gridCol w:w="892"/>
        <w:gridCol w:w="861"/>
        <w:gridCol w:w="961"/>
      </w:tblGrid>
      <w:tr w:rsidR="0060143E" w14:paraId="20D8FFA4" w14:textId="77777777" w:rsidTr="0074487E">
        <w:tc>
          <w:tcPr>
            <w:tcW w:w="1381" w:type="dxa"/>
          </w:tcPr>
          <w:p w14:paraId="5EFA4849" w14:textId="77777777" w:rsidR="0060143E" w:rsidRPr="00B40CE5" w:rsidRDefault="0060143E" w:rsidP="0074487E">
            <w:pPr>
              <w:rPr>
                <w:bCs/>
                <w:sz w:val="20"/>
                <w:szCs w:val="20"/>
              </w:rPr>
            </w:pPr>
            <w:r w:rsidRPr="00B40CE5">
              <w:rPr>
                <w:bCs/>
                <w:sz w:val="20"/>
                <w:szCs w:val="20"/>
              </w:rPr>
              <w:t>Name of injured volunteer/ contractor</w:t>
            </w:r>
          </w:p>
        </w:tc>
        <w:tc>
          <w:tcPr>
            <w:tcW w:w="1119" w:type="dxa"/>
          </w:tcPr>
          <w:p w14:paraId="42B40F81" w14:textId="77777777" w:rsidR="0060143E" w:rsidRPr="00B40CE5" w:rsidRDefault="0060143E" w:rsidP="0074487E">
            <w:pPr>
              <w:rPr>
                <w:bCs/>
                <w:sz w:val="20"/>
                <w:szCs w:val="20"/>
              </w:rPr>
            </w:pPr>
            <w:r w:rsidRPr="00B40CE5">
              <w:rPr>
                <w:bCs/>
                <w:sz w:val="20"/>
                <w:szCs w:val="20"/>
              </w:rPr>
              <w:t>Their address</w:t>
            </w:r>
          </w:p>
        </w:tc>
        <w:tc>
          <w:tcPr>
            <w:tcW w:w="857" w:type="dxa"/>
          </w:tcPr>
          <w:p w14:paraId="10C3B2CA" w14:textId="77777777" w:rsidR="0060143E" w:rsidRPr="00B40CE5" w:rsidRDefault="0060143E" w:rsidP="0074487E">
            <w:pPr>
              <w:rPr>
                <w:bCs/>
                <w:sz w:val="20"/>
                <w:szCs w:val="20"/>
              </w:rPr>
            </w:pPr>
            <w:r w:rsidRPr="00B40CE5">
              <w:rPr>
                <w:bCs/>
                <w:sz w:val="20"/>
                <w:szCs w:val="20"/>
              </w:rPr>
              <w:t>Age at time of injury</w:t>
            </w:r>
          </w:p>
        </w:tc>
        <w:tc>
          <w:tcPr>
            <w:tcW w:w="1511" w:type="dxa"/>
          </w:tcPr>
          <w:p w14:paraId="3EAEAA94" w14:textId="77777777" w:rsidR="0060143E" w:rsidRPr="00B40CE5" w:rsidRDefault="0060143E" w:rsidP="0074487E">
            <w:pPr>
              <w:rPr>
                <w:bCs/>
                <w:sz w:val="20"/>
                <w:szCs w:val="20"/>
              </w:rPr>
            </w:pPr>
            <w:r w:rsidRPr="00B40CE5">
              <w:rPr>
                <w:bCs/>
                <w:sz w:val="20"/>
                <w:szCs w:val="20"/>
              </w:rPr>
              <w:t>Occupation at time of injury</w:t>
            </w:r>
          </w:p>
        </w:tc>
        <w:tc>
          <w:tcPr>
            <w:tcW w:w="1184" w:type="dxa"/>
          </w:tcPr>
          <w:p w14:paraId="4DD2B646" w14:textId="77777777" w:rsidR="0060143E" w:rsidRPr="00B40CE5" w:rsidRDefault="0060143E" w:rsidP="0074487E">
            <w:pPr>
              <w:rPr>
                <w:bCs/>
                <w:sz w:val="20"/>
                <w:szCs w:val="20"/>
              </w:rPr>
            </w:pPr>
            <w:r w:rsidRPr="00B40CE5">
              <w:rPr>
                <w:bCs/>
                <w:sz w:val="20"/>
                <w:szCs w:val="20"/>
                <w:lang w:val="en"/>
              </w:rPr>
              <w:t>Industry in which the worker was engaged at the time of injury</w:t>
            </w:r>
          </w:p>
        </w:tc>
        <w:tc>
          <w:tcPr>
            <w:tcW w:w="857" w:type="dxa"/>
          </w:tcPr>
          <w:p w14:paraId="27A77259" w14:textId="77777777" w:rsidR="0060143E" w:rsidRPr="00B40CE5" w:rsidRDefault="0060143E" w:rsidP="0074487E">
            <w:pPr>
              <w:rPr>
                <w:bCs/>
                <w:sz w:val="20"/>
                <w:szCs w:val="20"/>
              </w:rPr>
            </w:pPr>
            <w:r w:rsidRPr="00B40CE5">
              <w:rPr>
                <w:bCs/>
                <w:sz w:val="20"/>
                <w:szCs w:val="20"/>
              </w:rPr>
              <w:t>Time and date of injury</w:t>
            </w:r>
          </w:p>
        </w:tc>
        <w:tc>
          <w:tcPr>
            <w:tcW w:w="962" w:type="dxa"/>
          </w:tcPr>
          <w:p w14:paraId="5DDA8EC8" w14:textId="77777777" w:rsidR="0060143E" w:rsidRPr="00B40CE5" w:rsidRDefault="0060143E" w:rsidP="0074487E">
            <w:pPr>
              <w:rPr>
                <w:bCs/>
                <w:sz w:val="20"/>
                <w:szCs w:val="20"/>
              </w:rPr>
            </w:pPr>
            <w:r w:rsidRPr="00B40CE5">
              <w:rPr>
                <w:bCs/>
                <w:sz w:val="20"/>
                <w:szCs w:val="20"/>
              </w:rPr>
              <w:t>Nature of Injury</w:t>
            </w:r>
          </w:p>
        </w:tc>
        <w:tc>
          <w:tcPr>
            <w:tcW w:w="923" w:type="dxa"/>
          </w:tcPr>
          <w:p w14:paraId="24A46F51" w14:textId="77777777" w:rsidR="0060143E" w:rsidRPr="00B40CE5" w:rsidRDefault="0060143E" w:rsidP="0074487E">
            <w:pPr>
              <w:rPr>
                <w:bCs/>
                <w:sz w:val="20"/>
                <w:szCs w:val="20"/>
              </w:rPr>
            </w:pPr>
            <w:r w:rsidRPr="00B40CE5">
              <w:rPr>
                <w:bCs/>
                <w:sz w:val="20"/>
                <w:szCs w:val="20"/>
              </w:rPr>
              <w:t>Cause of Injury</w:t>
            </w:r>
          </w:p>
        </w:tc>
        <w:tc>
          <w:tcPr>
            <w:tcW w:w="222" w:type="dxa"/>
          </w:tcPr>
          <w:p w14:paraId="534F360A" w14:textId="77777777" w:rsidR="0060143E" w:rsidRPr="00B40CE5" w:rsidRDefault="0060143E" w:rsidP="0074487E">
            <w:pPr>
              <w:rPr>
                <w:bCs/>
                <w:sz w:val="20"/>
                <w:szCs w:val="20"/>
              </w:rPr>
            </w:pPr>
            <w:r w:rsidRPr="00B40CE5">
              <w:rPr>
                <w:bCs/>
                <w:sz w:val="20"/>
                <w:szCs w:val="20"/>
              </w:rPr>
              <w:t>Lessons for the future</w:t>
            </w:r>
          </w:p>
        </w:tc>
      </w:tr>
      <w:tr w:rsidR="0060143E" w14:paraId="683D8C22" w14:textId="77777777" w:rsidTr="0074487E">
        <w:tc>
          <w:tcPr>
            <w:tcW w:w="1381" w:type="dxa"/>
          </w:tcPr>
          <w:p w14:paraId="3FD40088" w14:textId="77777777" w:rsidR="0060143E" w:rsidRDefault="0060143E" w:rsidP="0074487E">
            <w:pPr>
              <w:jc w:val="center"/>
              <w:rPr>
                <w:b/>
                <w:sz w:val="32"/>
                <w:szCs w:val="32"/>
              </w:rPr>
            </w:pPr>
          </w:p>
        </w:tc>
        <w:tc>
          <w:tcPr>
            <w:tcW w:w="1119" w:type="dxa"/>
          </w:tcPr>
          <w:p w14:paraId="432545F6" w14:textId="77777777" w:rsidR="0060143E" w:rsidRDefault="0060143E" w:rsidP="0074487E">
            <w:pPr>
              <w:jc w:val="center"/>
              <w:rPr>
                <w:b/>
                <w:sz w:val="32"/>
                <w:szCs w:val="32"/>
              </w:rPr>
            </w:pPr>
          </w:p>
        </w:tc>
        <w:tc>
          <w:tcPr>
            <w:tcW w:w="857" w:type="dxa"/>
          </w:tcPr>
          <w:p w14:paraId="07F9BF12" w14:textId="77777777" w:rsidR="0060143E" w:rsidRDefault="0060143E" w:rsidP="0074487E">
            <w:pPr>
              <w:jc w:val="center"/>
              <w:rPr>
                <w:b/>
                <w:sz w:val="32"/>
                <w:szCs w:val="32"/>
              </w:rPr>
            </w:pPr>
          </w:p>
        </w:tc>
        <w:tc>
          <w:tcPr>
            <w:tcW w:w="1511" w:type="dxa"/>
          </w:tcPr>
          <w:p w14:paraId="1323BAB5" w14:textId="77777777" w:rsidR="0060143E" w:rsidRDefault="0060143E" w:rsidP="0074487E">
            <w:pPr>
              <w:jc w:val="center"/>
              <w:rPr>
                <w:b/>
                <w:sz w:val="32"/>
                <w:szCs w:val="32"/>
              </w:rPr>
            </w:pPr>
          </w:p>
        </w:tc>
        <w:tc>
          <w:tcPr>
            <w:tcW w:w="1184" w:type="dxa"/>
          </w:tcPr>
          <w:p w14:paraId="5CBE68D3" w14:textId="77777777" w:rsidR="0060143E" w:rsidRDefault="0060143E" w:rsidP="0074487E">
            <w:pPr>
              <w:jc w:val="center"/>
              <w:rPr>
                <w:b/>
                <w:sz w:val="32"/>
                <w:szCs w:val="32"/>
              </w:rPr>
            </w:pPr>
          </w:p>
        </w:tc>
        <w:tc>
          <w:tcPr>
            <w:tcW w:w="857" w:type="dxa"/>
          </w:tcPr>
          <w:p w14:paraId="0FC853E7" w14:textId="77777777" w:rsidR="0060143E" w:rsidRDefault="0060143E" w:rsidP="0074487E">
            <w:pPr>
              <w:jc w:val="center"/>
              <w:rPr>
                <w:b/>
                <w:sz w:val="32"/>
                <w:szCs w:val="32"/>
              </w:rPr>
            </w:pPr>
          </w:p>
        </w:tc>
        <w:tc>
          <w:tcPr>
            <w:tcW w:w="962" w:type="dxa"/>
          </w:tcPr>
          <w:p w14:paraId="134771F4" w14:textId="77777777" w:rsidR="0060143E" w:rsidRDefault="0060143E" w:rsidP="0074487E">
            <w:pPr>
              <w:jc w:val="center"/>
              <w:rPr>
                <w:b/>
                <w:sz w:val="32"/>
                <w:szCs w:val="32"/>
              </w:rPr>
            </w:pPr>
          </w:p>
        </w:tc>
        <w:tc>
          <w:tcPr>
            <w:tcW w:w="923" w:type="dxa"/>
          </w:tcPr>
          <w:p w14:paraId="36EB577C" w14:textId="77777777" w:rsidR="0060143E" w:rsidRDefault="0060143E" w:rsidP="0074487E">
            <w:pPr>
              <w:jc w:val="center"/>
              <w:rPr>
                <w:b/>
                <w:sz w:val="32"/>
                <w:szCs w:val="32"/>
              </w:rPr>
            </w:pPr>
          </w:p>
        </w:tc>
        <w:tc>
          <w:tcPr>
            <w:tcW w:w="222" w:type="dxa"/>
          </w:tcPr>
          <w:p w14:paraId="7D881293" w14:textId="77777777" w:rsidR="0060143E" w:rsidRDefault="0060143E" w:rsidP="0074487E">
            <w:pPr>
              <w:jc w:val="center"/>
              <w:rPr>
                <w:b/>
                <w:sz w:val="32"/>
                <w:szCs w:val="32"/>
              </w:rPr>
            </w:pPr>
          </w:p>
        </w:tc>
      </w:tr>
      <w:tr w:rsidR="0060143E" w14:paraId="6BEE982C" w14:textId="77777777" w:rsidTr="0074487E">
        <w:tc>
          <w:tcPr>
            <w:tcW w:w="1381" w:type="dxa"/>
          </w:tcPr>
          <w:p w14:paraId="1C35E293" w14:textId="77777777" w:rsidR="0060143E" w:rsidRDefault="0060143E" w:rsidP="0074487E">
            <w:pPr>
              <w:jc w:val="center"/>
              <w:rPr>
                <w:b/>
                <w:sz w:val="32"/>
                <w:szCs w:val="32"/>
              </w:rPr>
            </w:pPr>
          </w:p>
        </w:tc>
        <w:tc>
          <w:tcPr>
            <w:tcW w:w="1119" w:type="dxa"/>
          </w:tcPr>
          <w:p w14:paraId="5A41DC4B" w14:textId="77777777" w:rsidR="0060143E" w:rsidRDefault="0060143E" w:rsidP="0074487E">
            <w:pPr>
              <w:jc w:val="center"/>
              <w:rPr>
                <w:b/>
                <w:sz w:val="32"/>
                <w:szCs w:val="32"/>
              </w:rPr>
            </w:pPr>
          </w:p>
        </w:tc>
        <w:tc>
          <w:tcPr>
            <w:tcW w:w="857" w:type="dxa"/>
          </w:tcPr>
          <w:p w14:paraId="2BAD209C" w14:textId="77777777" w:rsidR="0060143E" w:rsidRDefault="0060143E" w:rsidP="0074487E">
            <w:pPr>
              <w:jc w:val="center"/>
              <w:rPr>
                <w:b/>
                <w:sz w:val="32"/>
                <w:szCs w:val="32"/>
              </w:rPr>
            </w:pPr>
          </w:p>
        </w:tc>
        <w:tc>
          <w:tcPr>
            <w:tcW w:w="1511" w:type="dxa"/>
          </w:tcPr>
          <w:p w14:paraId="2BC8C1B6" w14:textId="77777777" w:rsidR="0060143E" w:rsidRDefault="0060143E" w:rsidP="0074487E">
            <w:pPr>
              <w:jc w:val="center"/>
              <w:rPr>
                <w:b/>
                <w:sz w:val="32"/>
                <w:szCs w:val="32"/>
              </w:rPr>
            </w:pPr>
          </w:p>
        </w:tc>
        <w:tc>
          <w:tcPr>
            <w:tcW w:w="1184" w:type="dxa"/>
          </w:tcPr>
          <w:p w14:paraId="4FBC3011" w14:textId="77777777" w:rsidR="0060143E" w:rsidRDefault="0060143E" w:rsidP="0074487E">
            <w:pPr>
              <w:jc w:val="center"/>
              <w:rPr>
                <w:b/>
                <w:sz w:val="32"/>
                <w:szCs w:val="32"/>
              </w:rPr>
            </w:pPr>
          </w:p>
        </w:tc>
        <w:tc>
          <w:tcPr>
            <w:tcW w:w="857" w:type="dxa"/>
          </w:tcPr>
          <w:p w14:paraId="018CEAED" w14:textId="77777777" w:rsidR="0060143E" w:rsidRDefault="0060143E" w:rsidP="0074487E">
            <w:pPr>
              <w:jc w:val="center"/>
              <w:rPr>
                <w:b/>
                <w:sz w:val="32"/>
                <w:szCs w:val="32"/>
              </w:rPr>
            </w:pPr>
          </w:p>
        </w:tc>
        <w:tc>
          <w:tcPr>
            <w:tcW w:w="962" w:type="dxa"/>
          </w:tcPr>
          <w:p w14:paraId="161D250C" w14:textId="77777777" w:rsidR="0060143E" w:rsidRDefault="0060143E" w:rsidP="0074487E">
            <w:pPr>
              <w:jc w:val="center"/>
              <w:rPr>
                <w:b/>
                <w:sz w:val="32"/>
                <w:szCs w:val="32"/>
              </w:rPr>
            </w:pPr>
          </w:p>
        </w:tc>
        <w:tc>
          <w:tcPr>
            <w:tcW w:w="923" w:type="dxa"/>
          </w:tcPr>
          <w:p w14:paraId="7722F182" w14:textId="77777777" w:rsidR="0060143E" w:rsidRDefault="0060143E" w:rsidP="0074487E">
            <w:pPr>
              <w:jc w:val="center"/>
              <w:rPr>
                <w:b/>
                <w:sz w:val="32"/>
                <w:szCs w:val="32"/>
              </w:rPr>
            </w:pPr>
          </w:p>
        </w:tc>
        <w:tc>
          <w:tcPr>
            <w:tcW w:w="222" w:type="dxa"/>
          </w:tcPr>
          <w:p w14:paraId="1297FDC1" w14:textId="77777777" w:rsidR="0060143E" w:rsidRDefault="0060143E" w:rsidP="0074487E">
            <w:pPr>
              <w:jc w:val="center"/>
              <w:rPr>
                <w:b/>
                <w:sz w:val="32"/>
                <w:szCs w:val="32"/>
              </w:rPr>
            </w:pPr>
          </w:p>
        </w:tc>
      </w:tr>
      <w:tr w:rsidR="0060143E" w14:paraId="258712D9" w14:textId="77777777" w:rsidTr="0074487E">
        <w:tc>
          <w:tcPr>
            <w:tcW w:w="1381" w:type="dxa"/>
          </w:tcPr>
          <w:p w14:paraId="3B50BFA1" w14:textId="77777777" w:rsidR="0060143E" w:rsidRDefault="0060143E" w:rsidP="0074487E">
            <w:pPr>
              <w:jc w:val="center"/>
              <w:rPr>
                <w:b/>
                <w:sz w:val="32"/>
                <w:szCs w:val="32"/>
              </w:rPr>
            </w:pPr>
          </w:p>
        </w:tc>
        <w:tc>
          <w:tcPr>
            <w:tcW w:w="1119" w:type="dxa"/>
          </w:tcPr>
          <w:p w14:paraId="23D44FD8" w14:textId="77777777" w:rsidR="0060143E" w:rsidRDefault="0060143E" w:rsidP="0074487E">
            <w:pPr>
              <w:jc w:val="center"/>
              <w:rPr>
                <w:b/>
                <w:sz w:val="32"/>
                <w:szCs w:val="32"/>
              </w:rPr>
            </w:pPr>
          </w:p>
        </w:tc>
        <w:tc>
          <w:tcPr>
            <w:tcW w:w="857" w:type="dxa"/>
          </w:tcPr>
          <w:p w14:paraId="2307C878" w14:textId="77777777" w:rsidR="0060143E" w:rsidRDefault="0060143E" w:rsidP="0074487E">
            <w:pPr>
              <w:jc w:val="center"/>
              <w:rPr>
                <w:b/>
                <w:sz w:val="32"/>
                <w:szCs w:val="32"/>
              </w:rPr>
            </w:pPr>
          </w:p>
        </w:tc>
        <w:tc>
          <w:tcPr>
            <w:tcW w:w="1511" w:type="dxa"/>
          </w:tcPr>
          <w:p w14:paraId="7CA26381" w14:textId="77777777" w:rsidR="0060143E" w:rsidRDefault="0060143E" w:rsidP="0074487E">
            <w:pPr>
              <w:jc w:val="center"/>
              <w:rPr>
                <w:b/>
                <w:sz w:val="32"/>
                <w:szCs w:val="32"/>
              </w:rPr>
            </w:pPr>
          </w:p>
        </w:tc>
        <w:tc>
          <w:tcPr>
            <w:tcW w:w="1184" w:type="dxa"/>
          </w:tcPr>
          <w:p w14:paraId="7CD049BD" w14:textId="77777777" w:rsidR="0060143E" w:rsidRDefault="0060143E" w:rsidP="0074487E">
            <w:pPr>
              <w:jc w:val="center"/>
              <w:rPr>
                <w:b/>
                <w:sz w:val="32"/>
                <w:szCs w:val="32"/>
              </w:rPr>
            </w:pPr>
          </w:p>
        </w:tc>
        <w:tc>
          <w:tcPr>
            <w:tcW w:w="857" w:type="dxa"/>
          </w:tcPr>
          <w:p w14:paraId="5DA9DDDB" w14:textId="77777777" w:rsidR="0060143E" w:rsidRDefault="0060143E" w:rsidP="0074487E">
            <w:pPr>
              <w:jc w:val="center"/>
              <w:rPr>
                <w:b/>
                <w:sz w:val="32"/>
                <w:szCs w:val="32"/>
              </w:rPr>
            </w:pPr>
          </w:p>
        </w:tc>
        <w:tc>
          <w:tcPr>
            <w:tcW w:w="962" w:type="dxa"/>
          </w:tcPr>
          <w:p w14:paraId="58B100AF" w14:textId="77777777" w:rsidR="0060143E" w:rsidRDefault="0060143E" w:rsidP="0074487E">
            <w:pPr>
              <w:jc w:val="center"/>
              <w:rPr>
                <w:b/>
                <w:sz w:val="32"/>
                <w:szCs w:val="32"/>
              </w:rPr>
            </w:pPr>
          </w:p>
        </w:tc>
        <w:tc>
          <w:tcPr>
            <w:tcW w:w="923" w:type="dxa"/>
          </w:tcPr>
          <w:p w14:paraId="19742985" w14:textId="77777777" w:rsidR="0060143E" w:rsidRDefault="0060143E" w:rsidP="0074487E">
            <w:pPr>
              <w:jc w:val="center"/>
              <w:rPr>
                <w:b/>
                <w:sz w:val="32"/>
                <w:szCs w:val="32"/>
              </w:rPr>
            </w:pPr>
          </w:p>
        </w:tc>
        <w:tc>
          <w:tcPr>
            <w:tcW w:w="222" w:type="dxa"/>
          </w:tcPr>
          <w:p w14:paraId="18699508" w14:textId="77777777" w:rsidR="0060143E" w:rsidRDefault="0060143E" w:rsidP="0074487E">
            <w:pPr>
              <w:jc w:val="center"/>
              <w:rPr>
                <w:b/>
                <w:sz w:val="32"/>
                <w:szCs w:val="32"/>
              </w:rPr>
            </w:pPr>
          </w:p>
        </w:tc>
      </w:tr>
    </w:tbl>
    <w:p w14:paraId="636F937B" w14:textId="77777777" w:rsidR="001C46C8" w:rsidRDefault="001C46C8" w:rsidP="002E31CF">
      <w:pPr>
        <w:spacing w:before="120" w:after="100" w:afterAutospacing="1"/>
        <w:rPr>
          <w:rFonts w:asciiTheme="minorHAnsi" w:hAnsiTheme="minorHAnsi" w:cs="Arial"/>
          <w:i/>
          <w:szCs w:val="24"/>
        </w:rPr>
      </w:pPr>
    </w:p>
    <w:p w14:paraId="23368028" w14:textId="3FC4A9F9" w:rsidR="00953496" w:rsidRPr="00753780" w:rsidRDefault="00953496" w:rsidP="007418E1">
      <w:pPr>
        <w:pStyle w:val="Heading2"/>
        <w:rPr>
          <w:sz w:val="16"/>
          <w:szCs w:val="16"/>
        </w:rPr>
      </w:pPr>
      <w:bookmarkStart w:id="9" w:name="_Toc510607536"/>
      <w:r>
        <w:t>Review</w:t>
      </w:r>
      <w:bookmarkEnd w:id="9"/>
      <w:r w:rsidR="00323B52">
        <w:tab/>
      </w:r>
    </w:p>
    <w:p w14:paraId="5DA23525" w14:textId="77777777" w:rsidR="00BC34FC" w:rsidRPr="004271D8" w:rsidRDefault="00BC34FC" w:rsidP="00BC34FC">
      <w:pPr>
        <w:spacing w:line="240" w:lineRule="auto"/>
        <w:rPr>
          <w:rFonts w:cs="Arial"/>
          <w:szCs w:val="24"/>
          <w:lang w:val="en-US"/>
        </w:rPr>
      </w:pPr>
      <w:r w:rsidRPr="004271D8">
        <w:rPr>
          <w:rFonts w:cs="Arial"/>
          <w:szCs w:val="24"/>
          <w:lang w:val="en-US"/>
        </w:rPr>
        <w:t xml:space="preserve">This policy will be reviewed on a two-yearly basis.  </w:t>
      </w:r>
    </w:p>
    <w:p w14:paraId="32DDA6E2" w14:textId="77777777" w:rsidR="00BC34FC" w:rsidRPr="004271D8" w:rsidRDefault="00BC34FC" w:rsidP="00BC34FC">
      <w:pPr>
        <w:spacing w:line="240" w:lineRule="auto"/>
        <w:rPr>
          <w:rFonts w:cs="Arial"/>
          <w:szCs w:val="24"/>
          <w:lang w:val="en-US"/>
        </w:rPr>
      </w:pPr>
      <w:r w:rsidRPr="004271D8">
        <w:rPr>
          <w:rFonts w:cs="Arial"/>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3085"/>
        <w:gridCol w:w="1843"/>
        <w:gridCol w:w="2268"/>
        <w:gridCol w:w="2126"/>
      </w:tblGrid>
      <w:tr w:rsidR="00BC34FC" w:rsidRPr="00D0163B" w14:paraId="59ED16B7" w14:textId="77777777" w:rsidTr="002D4113">
        <w:tc>
          <w:tcPr>
            <w:tcW w:w="3085" w:type="dxa"/>
          </w:tcPr>
          <w:p w14:paraId="3739A24D" w14:textId="77777777" w:rsidR="00BC34FC" w:rsidRPr="00D0163B" w:rsidRDefault="00BC34FC" w:rsidP="002D4113">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 xml:space="preserve">Signed </w:t>
            </w:r>
            <w:r w:rsidRPr="00D0163B">
              <w:rPr>
                <w:rFonts w:ascii="Century Gothic" w:hAnsi="Century Gothic" w:cstheme="minorHAnsi"/>
                <w:bCs/>
                <w:color w:val="000000" w:themeColor="text1"/>
                <w:szCs w:val="24"/>
                <w:lang w:val="en"/>
              </w:rPr>
              <w:t xml:space="preserve">by </w:t>
            </w:r>
            <w:r>
              <w:rPr>
                <w:rFonts w:ascii="Century Gothic" w:hAnsi="Century Gothic" w:cstheme="minorHAnsi"/>
                <w:bCs/>
                <w:color w:val="000000" w:themeColor="text1"/>
                <w:szCs w:val="24"/>
                <w:lang w:val="en"/>
              </w:rPr>
              <w:t>all Partners</w:t>
            </w:r>
          </w:p>
        </w:tc>
        <w:tc>
          <w:tcPr>
            <w:tcW w:w="6237" w:type="dxa"/>
            <w:gridSpan w:val="3"/>
          </w:tcPr>
          <w:p w14:paraId="391446CE"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Original signed by all Partne</w:t>
            </w:r>
            <w:r>
              <w:rPr>
                <w:rFonts w:ascii="Century Gothic" w:hAnsi="Century Gothic" w:cstheme="minorHAnsi"/>
                <w:bCs/>
                <w:color w:val="000000" w:themeColor="text1"/>
                <w:szCs w:val="24"/>
                <w:lang w:val="en"/>
              </w:rPr>
              <w:t>r</w:t>
            </w:r>
            <w:r w:rsidRPr="00596E20">
              <w:rPr>
                <w:rFonts w:ascii="Century Gothic" w:hAnsi="Century Gothic" w:cstheme="minorHAnsi"/>
                <w:bCs/>
                <w:color w:val="000000" w:themeColor="text1"/>
                <w:szCs w:val="24"/>
                <w:lang w:val="en"/>
              </w:rPr>
              <w:t>s</w:t>
            </w:r>
          </w:p>
        </w:tc>
      </w:tr>
      <w:tr w:rsidR="00BC34FC" w:rsidRPr="00D0163B" w14:paraId="29300A8A" w14:textId="77777777" w:rsidTr="002D4113">
        <w:tc>
          <w:tcPr>
            <w:tcW w:w="3085" w:type="dxa"/>
          </w:tcPr>
          <w:p w14:paraId="55CD4B57" w14:textId="77777777" w:rsidR="00BC34FC" w:rsidRPr="00D0163B" w:rsidRDefault="00BC34FC" w:rsidP="002D4113">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Date effective</w:t>
            </w:r>
          </w:p>
        </w:tc>
        <w:tc>
          <w:tcPr>
            <w:tcW w:w="1843" w:type="dxa"/>
          </w:tcPr>
          <w:p w14:paraId="3FD03B19" w14:textId="28F54012" w:rsidR="00BC34FC" w:rsidRPr="00596E20" w:rsidRDefault="00E67B4A" w:rsidP="002615F7">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1 March</w:t>
            </w:r>
            <w:r w:rsidR="00BC34FC" w:rsidRPr="00596E20">
              <w:rPr>
                <w:rFonts w:ascii="Century Gothic" w:hAnsi="Century Gothic" w:cstheme="minorHAnsi"/>
                <w:bCs/>
                <w:color w:val="000000" w:themeColor="text1"/>
                <w:szCs w:val="24"/>
                <w:lang w:val="en"/>
              </w:rPr>
              <w:t xml:space="preserve"> 20</w:t>
            </w:r>
            <w:r w:rsidR="002615F7">
              <w:rPr>
                <w:rFonts w:ascii="Century Gothic" w:hAnsi="Century Gothic" w:cstheme="minorHAnsi"/>
                <w:bCs/>
                <w:color w:val="000000" w:themeColor="text1"/>
                <w:szCs w:val="24"/>
                <w:lang w:val="en"/>
              </w:rPr>
              <w:t>20</w:t>
            </w:r>
          </w:p>
        </w:tc>
        <w:tc>
          <w:tcPr>
            <w:tcW w:w="2268" w:type="dxa"/>
          </w:tcPr>
          <w:p w14:paraId="3277F68A"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Version</w:t>
            </w:r>
          </w:p>
        </w:tc>
        <w:tc>
          <w:tcPr>
            <w:tcW w:w="2126" w:type="dxa"/>
          </w:tcPr>
          <w:p w14:paraId="3F39D869" w14:textId="1C180DFF"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w:t>
            </w:r>
            <w:r>
              <w:rPr>
                <w:rFonts w:ascii="Century Gothic" w:hAnsi="Century Gothic" w:cstheme="minorHAnsi"/>
                <w:bCs/>
                <w:color w:val="000000" w:themeColor="text1"/>
                <w:szCs w:val="24"/>
                <w:lang w:val="en"/>
              </w:rPr>
              <w:t>-</w:t>
            </w:r>
            <w:r w:rsidR="00E67B4A">
              <w:rPr>
                <w:rFonts w:ascii="Century Gothic" w:hAnsi="Century Gothic" w:cstheme="minorHAnsi"/>
                <w:bCs/>
                <w:color w:val="000000" w:themeColor="text1"/>
                <w:szCs w:val="24"/>
                <w:lang w:val="en"/>
              </w:rPr>
              <w:t>4</w:t>
            </w:r>
          </w:p>
        </w:tc>
      </w:tr>
      <w:tr w:rsidR="00BC34FC" w:rsidRPr="00D0163B" w14:paraId="4405F1AE" w14:textId="77777777" w:rsidTr="002D4113">
        <w:trPr>
          <w:trHeight w:val="90"/>
        </w:trPr>
        <w:tc>
          <w:tcPr>
            <w:tcW w:w="3085" w:type="dxa"/>
          </w:tcPr>
          <w:p w14:paraId="3311142B" w14:textId="77777777" w:rsidR="00BC34FC" w:rsidRPr="00D0163B" w:rsidRDefault="00BC34FC" w:rsidP="002D4113">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Review date</w:t>
            </w:r>
          </w:p>
        </w:tc>
        <w:tc>
          <w:tcPr>
            <w:tcW w:w="1843" w:type="dxa"/>
          </w:tcPr>
          <w:p w14:paraId="313F8CC4" w14:textId="3F85D812" w:rsidR="00BC34FC" w:rsidRPr="00596E20" w:rsidRDefault="00E67B4A" w:rsidP="002D4113">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1 March</w:t>
            </w:r>
            <w:r w:rsidR="00BC34FC" w:rsidRPr="00596E20">
              <w:rPr>
                <w:rFonts w:ascii="Century Gothic" w:hAnsi="Century Gothic" w:cstheme="minorHAnsi"/>
                <w:bCs/>
                <w:color w:val="000000" w:themeColor="text1"/>
                <w:szCs w:val="24"/>
                <w:lang w:val="en"/>
              </w:rPr>
              <w:t xml:space="preserve"> 20</w:t>
            </w:r>
            <w:r w:rsidR="00BC34FC">
              <w:rPr>
                <w:rFonts w:ascii="Century Gothic" w:hAnsi="Century Gothic" w:cstheme="minorHAnsi"/>
                <w:bCs/>
                <w:color w:val="000000" w:themeColor="text1"/>
                <w:szCs w:val="24"/>
                <w:lang w:val="en"/>
              </w:rPr>
              <w:t>2</w:t>
            </w:r>
            <w:r w:rsidR="002615F7">
              <w:rPr>
                <w:rFonts w:ascii="Century Gothic" w:hAnsi="Century Gothic" w:cstheme="minorHAnsi"/>
                <w:bCs/>
                <w:color w:val="000000" w:themeColor="text1"/>
                <w:szCs w:val="24"/>
                <w:lang w:val="en"/>
              </w:rPr>
              <w:t>2</w:t>
            </w:r>
          </w:p>
        </w:tc>
        <w:tc>
          <w:tcPr>
            <w:tcW w:w="2268" w:type="dxa"/>
          </w:tcPr>
          <w:p w14:paraId="6E07F831"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No of pages</w:t>
            </w:r>
          </w:p>
        </w:tc>
        <w:tc>
          <w:tcPr>
            <w:tcW w:w="2126" w:type="dxa"/>
          </w:tcPr>
          <w:p w14:paraId="42C96A75" w14:textId="409AD904" w:rsidR="00BC34FC" w:rsidRPr="00596E20" w:rsidRDefault="002615F7" w:rsidP="002D4113">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5</w:t>
            </w:r>
          </w:p>
        </w:tc>
      </w:tr>
    </w:tbl>
    <w:p w14:paraId="33157E9F" w14:textId="77777777" w:rsidR="00BC34FC" w:rsidRPr="00D0163B" w:rsidRDefault="00BC34FC" w:rsidP="00BC34FC">
      <w:pPr>
        <w:spacing w:after="0" w:line="360" w:lineRule="auto"/>
        <w:rPr>
          <w:rFonts w:ascii="Century Gothic" w:hAnsi="Century Gothic" w:cstheme="minorHAnsi"/>
          <w:color w:val="000000" w:themeColor="text1"/>
          <w:szCs w:val="24"/>
        </w:rPr>
      </w:pPr>
      <w:bookmarkStart w:id="10" w:name="_Annexure_A_–"/>
      <w:bookmarkEnd w:id="10"/>
    </w:p>
    <w:p w14:paraId="316112F9" w14:textId="04CF4F74" w:rsidR="004947AA" w:rsidRDefault="004947AA" w:rsidP="00323B52">
      <w:pPr>
        <w:tabs>
          <w:tab w:val="left" w:pos="5105"/>
        </w:tabs>
        <w:rPr>
          <w:rFonts w:ascii="Century Gothic" w:hAnsi="Century Gothic" w:cstheme="minorHAnsi"/>
          <w:szCs w:val="24"/>
        </w:rPr>
      </w:pPr>
    </w:p>
    <w:p w14:paraId="2027D55B" w14:textId="3330D116" w:rsidR="00A33712" w:rsidRPr="00A33712" w:rsidRDefault="00A33712" w:rsidP="00A33712">
      <w:pPr>
        <w:rPr>
          <w:rFonts w:ascii="Century Gothic" w:hAnsi="Century Gothic" w:cstheme="minorHAnsi"/>
          <w:szCs w:val="24"/>
        </w:rPr>
      </w:pPr>
    </w:p>
    <w:p w14:paraId="72D20857" w14:textId="7E96D927" w:rsidR="00A33712" w:rsidRPr="00A33712" w:rsidRDefault="00A33712" w:rsidP="00A33712">
      <w:pPr>
        <w:tabs>
          <w:tab w:val="left" w:pos="6018"/>
        </w:tabs>
        <w:rPr>
          <w:rFonts w:ascii="Century Gothic" w:hAnsi="Century Gothic" w:cstheme="minorHAnsi"/>
          <w:szCs w:val="24"/>
        </w:rPr>
      </w:pPr>
      <w:r>
        <w:rPr>
          <w:rFonts w:ascii="Century Gothic" w:hAnsi="Century Gothic" w:cstheme="minorHAnsi"/>
          <w:szCs w:val="24"/>
        </w:rPr>
        <w:tab/>
      </w:r>
    </w:p>
    <w:sectPr w:rsidR="00A33712" w:rsidRPr="00A33712" w:rsidSect="000E522B">
      <w:headerReference w:type="default" r:id="rId9"/>
      <w:footerReference w:type="even" r:id="rId10"/>
      <w:footerReference w:type="default" r:id="rId11"/>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3F0C" w14:textId="77777777" w:rsidR="00D22615" w:rsidRDefault="00D22615" w:rsidP="00EC572F">
      <w:pPr>
        <w:spacing w:after="0" w:line="240" w:lineRule="auto"/>
      </w:pPr>
      <w:r>
        <w:separator/>
      </w:r>
    </w:p>
  </w:endnote>
  <w:endnote w:type="continuationSeparator" w:id="0">
    <w:p w14:paraId="37D29057" w14:textId="77777777" w:rsidR="00D22615" w:rsidRDefault="00D22615"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2E31CF" w:rsidRDefault="002E31CF"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2E31CF" w:rsidRDefault="002E31CF"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721275"/>
      <w:docPartObj>
        <w:docPartGallery w:val="Page Numbers (Bottom of Page)"/>
        <w:docPartUnique/>
      </w:docPartObj>
    </w:sdtPr>
    <w:sdtEndPr>
      <w:rPr>
        <w:noProof/>
      </w:rPr>
    </w:sdtEndPr>
    <w:sdtContent>
      <w:p w14:paraId="215C3BE0" w14:textId="06A97CE2" w:rsidR="00323B52" w:rsidRPr="00323B52" w:rsidRDefault="00323B52" w:rsidP="00323B52">
        <w:pPr>
          <w:pStyle w:val="Footer"/>
          <w:pBdr>
            <w:top w:val="single" w:sz="4" w:space="1" w:color="auto"/>
          </w:pBdr>
          <w:ind w:right="360"/>
        </w:pPr>
        <w:r w:rsidRPr="008644E6">
          <w:rPr>
            <w:sz w:val="20"/>
            <w:szCs w:val="20"/>
          </w:rPr>
          <w:t xml:space="preserve">Policy Name: </w:t>
        </w:r>
        <w:r w:rsidR="00E550E7">
          <w:rPr>
            <w:sz w:val="20"/>
            <w:szCs w:val="20"/>
          </w:rPr>
          <w:t>Incident and Accident Reporting</w:t>
        </w:r>
        <w:r>
          <w:rPr>
            <w:sz w:val="20"/>
            <w:szCs w:val="20"/>
          </w:rPr>
          <w:tab/>
          <w:t xml:space="preserve">   Policy </w:t>
        </w:r>
        <w:r w:rsidRPr="00596E20">
          <w:rPr>
            <w:sz w:val="20"/>
            <w:szCs w:val="20"/>
          </w:rPr>
          <w:t>Number</w:t>
        </w:r>
        <w:r w:rsidR="00D02FAA">
          <w:rPr>
            <w:sz w:val="20"/>
            <w:szCs w:val="20"/>
          </w:rPr>
          <w:t xml:space="preserve">: </w:t>
        </w:r>
        <w:r w:rsidR="00BA2803">
          <w:rPr>
            <w:sz w:val="20"/>
            <w:szCs w:val="20"/>
          </w:rPr>
          <w:t>C2</w:t>
        </w:r>
        <w:r>
          <w:rPr>
            <w:sz w:val="20"/>
            <w:szCs w:val="20"/>
          </w:rPr>
          <w:t xml:space="preserve">     </w:t>
        </w:r>
        <w:r w:rsidRPr="008644E6">
          <w:rPr>
            <w:sz w:val="20"/>
            <w:szCs w:val="20"/>
          </w:rPr>
          <w:t xml:space="preserve">Version Number: </w:t>
        </w:r>
        <w:r>
          <w:rPr>
            <w:sz w:val="20"/>
            <w:szCs w:val="20"/>
          </w:rPr>
          <w:t>V-</w:t>
        </w:r>
        <w:r w:rsidR="00E67B4A">
          <w:rPr>
            <w:sz w:val="20"/>
            <w:szCs w:val="20"/>
          </w:rPr>
          <w:t>4</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B520D2">
          <w:rPr>
            <w:rStyle w:val="PageNumber"/>
            <w:noProof/>
          </w:rPr>
          <w:t>5</w:t>
        </w:r>
        <w:r>
          <w:rPr>
            <w:rStyle w:val="PageNumber"/>
          </w:rPr>
          <w:fldChar w:fldCharType="end"/>
        </w:r>
      </w:p>
      <w:p w14:paraId="55C63537" w14:textId="3356B55D" w:rsidR="002E31CF" w:rsidRDefault="002E31CF" w:rsidP="00085EE6">
        <w:pPr>
          <w:pStyle w:val="Footer"/>
        </w:pPr>
      </w:p>
      <w:p w14:paraId="1BCA89B6" w14:textId="0A06E44A" w:rsidR="002E31CF" w:rsidRDefault="002E31CF" w:rsidP="00085EE6">
        <w:pPr>
          <w:pStyle w:val="Footer"/>
        </w:pPr>
        <w:r>
          <w:tab/>
        </w:r>
      </w:p>
      <w:p w14:paraId="7CB4354B" w14:textId="36A6A885" w:rsidR="002E31CF" w:rsidRDefault="002E31CF">
        <w:pPr>
          <w:pStyle w:val="Footer"/>
          <w:jc w:val="center"/>
        </w:pPr>
        <w:r>
          <w:t xml:space="preserve"> </w:t>
        </w:r>
      </w:p>
    </w:sdtContent>
  </w:sdt>
  <w:p w14:paraId="286D79BB" w14:textId="77777777" w:rsidR="002E31CF" w:rsidRDefault="002E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1E2E" w14:textId="77777777" w:rsidR="00D22615" w:rsidRDefault="00D22615" w:rsidP="00EC572F">
      <w:pPr>
        <w:spacing w:after="0" w:line="240" w:lineRule="auto"/>
      </w:pPr>
      <w:r>
        <w:separator/>
      </w:r>
    </w:p>
  </w:footnote>
  <w:footnote w:type="continuationSeparator" w:id="0">
    <w:p w14:paraId="05B19130" w14:textId="77777777" w:rsidR="00D22615" w:rsidRDefault="00D22615"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035B3DC8" w:rsidR="002E31CF" w:rsidRDefault="002E31CF" w:rsidP="00085EE6">
    <w:pPr>
      <w:pStyle w:val="Header"/>
    </w:pPr>
    <w:r>
      <w:rPr>
        <w:noProof/>
        <w:lang w:eastAsia="en-AU"/>
      </w:rPr>
      <w:drawing>
        <wp:anchor distT="0" distB="0" distL="114300" distR="114300" simplePos="0" relativeHeight="251659264" behindDoc="0" locked="0" layoutInCell="1" allowOverlap="1" wp14:anchorId="29F73AED" wp14:editId="2D91A576">
          <wp:simplePos x="0" y="0"/>
          <wp:positionH relativeFrom="column">
            <wp:posOffset>4432300</wp:posOffset>
          </wp:positionH>
          <wp:positionV relativeFrom="paragraph">
            <wp:posOffset>-367030</wp:posOffset>
          </wp:positionV>
          <wp:extent cx="2057400" cy="1223010"/>
          <wp:effectExtent l="0" t="0" r="0" b="0"/>
          <wp:wrapTight wrapText="bothSides">
            <wp:wrapPolygon edited="0">
              <wp:start x="0" y="0"/>
              <wp:lineTo x="0" y="21084"/>
              <wp:lineTo x="21333" y="21084"/>
              <wp:lineTo x="21333" y="0"/>
              <wp:lineTo x="0" y="0"/>
            </wp:wrapPolygon>
          </wp:wrapTight>
          <wp:docPr id="1" name="Picture 1"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2E31CF" w:rsidRDefault="002E31CF" w:rsidP="00085EE6">
    <w:pPr>
      <w:pStyle w:val="Header"/>
    </w:pPr>
  </w:p>
  <w:p w14:paraId="721E27A7" w14:textId="77777777" w:rsidR="002E31CF" w:rsidRDefault="002E31CF" w:rsidP="00085EE6">
    <w:pPr>
      <w:pStyle w:val="Header"/>
    </w:pPr>
  </w:p>
  <w:p w14:paraId="09E43013" w14:textId="77777777" w:rsidR="002E31CF" w:rsidRDefault="002E31CF" w:rsidP="00085EE6">
    <w:pPr>
      <w:pStyle w:val="Header"/>
    </w:pPr>
  </w:p>
  <w:p w14:paraId="085A56A2" w14:textId="66F0564C" w:rsidR="002E31CF" w:rsidRPr="00085EE6" w:rsidRDefault="002E31CF"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77F7"/>
    <w:multiLevelType w:val="hybridMultilevel"/>
    <w:tmpl w:val="FE9A01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F71D7"/>
    <w:multiLevelType w:val="hybridMultilevel"/>
    <w:tmpl w:val="3A9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2E7C"/>
    <w:multiLevelType w:val="hybridMultilevel"/>
    <w:tmpl w:val="4822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12C1"/>
    <w:multiLevelType w:val="hybridMultilevel"/>
    <w:tmpl w:val="306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627E3"/>
    <w:multiLevelType w:val="multilevel"/>
    <w:tmpl w:val="D60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D020A"/>
    <w:multiLevelType w:val="hybridMultilevel"/>
    <w:tmpl w:val="A87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3E49"/>
    <w:multiLevelType w:val="multilevel"/>
    <w:tmpl w:val="55D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AC1B84"/>
    <w:multiLevelType w:val="hybridMultilevel"/>
    <w:tmpl w:val="927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95D00"/>
    <w:multiLevelType w:val="multilevel"/>
    <w:tmpl w:val="138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DC3D75"/>
    <w:multiLevelType w:val="hybridMultilevel"/>
    <w:tmpl w:val="CE2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E1314"/>
    <w:multiLevelType w:val="hybridMultilevel"/>
    <w:tmpl w:val="49D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25412"/>
    <w:multiLevelType w:val="hybridMultilevel"/>
    <w:tmpl w:val="F642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8"/>
  </w:num>
  <w:num w:numId="4">
    <w:abstractNumId w:val="9"/>
  </w:num>
  <w:num w:numId="5">
    <w:abstractNumId w:val="1"/>
  </w:num>
  <w:num w:numId="6">
    <w:abstractNumId w:val="3"/>
  </w:num>
  <w:num w:numId="7">
    <w:abstractNumId w:val="15"/>
  </w:num>
  <w:num w:numId="8">
    <w:abstractNumId w:val="16"/>
  </w:num>
  <w:num w:numId="9">
    <w:abstractNumId w:val="18"/>
  </w:num>
  <w:num w:numId="10">
    <w:abstractNumId w:val="19"/>
  </w:num>
  <w:num w:numId="11">
    <w:abstractNumId w:val="12"/>
  </w:num>
  <w:num w:numId="12">
    <w:abstractNumId w:val="17"/>
  </w:num>
  <w:num w:numId="13">
    <w:abstractNumId w:val="10"/>
  </w:num>
  <w:num w:numId="14">
    <w:abstractNumId w:val="14"/>
  </w:num>
  <w:num w:numId="15">
    <w:abstractNumId w:val="11"/>
  </w:num>
  <w:num w:numId="16">
    <w:abstractNumId w:val="20"/>
  </w:num>
  <w:num w:numId="17">
    <w:abstractNumId w:val="7"/>
  </w:num>
  <w:num w:numId="18">
    <w:abstractNumId w:val="5"/>
  </w:num>
  <w:num w:numId="19">
    <w:abstractNumId w:val="13"/>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03"/>
    <w:rsid w:val="00010D64"/>
    <w:rsid w:val="00042F2C"/>
    <w:rsid w:val="000661FA"/>
    <w:rsid w:val="00085EE6"/>
    <w:rsid w:val="00092C81"/>
    <w:rsid w:val="000C11D5"/>
    <w:rsid w:val="000E522B"/>
    <w:rsid w:val="00105806"/>
    <w:rsid w:val="00133617"/>
    <w:rsid w:val="00145C29"/>
    <w:rsid w:val="00151BBA"/>
    <w:rsid w:val="0015265C"/>
    <w:rsid w:val="00177F88"/>
    <w:rsid w:val="001A0A44"/>
    <w:rsid w:val="001C0C73"/>
    <w:rsid w:val="001C46C8"/>
    <w:rsid w:val="001C58B6"/>
    <w:rsid w:val="001C62FC"/>
    <w:rsid w:val="00210679"/>
    <w:rsid w:val="0021145B"/>
    <w:rsid w:val="00241F9D"/>
    <w:rsid w:val="002615F7"/>
    <w:rsid w:val="00273720"/>
    <w:rsid w:val="002B7C39"/>
    <w:rsid w:val="002C5FAF"/>
    <w:rsid w:val="002E2060"/>
    <w:rsid w:val="002E31CF"/>
    <w:rsid w:val="0030663F"/>
    <w:rsid w:val="00323B52"/>
    <w:rsid w:val="003259BB"/>
    <w:rsid w:val="00327DC3"/>
    <w:rsid w:val="00347600"/>
    <w:rsid w:val="00350F23"/>
    <w:rsid w:val="003B6BC8"/>
    <w:rsid w:val="003E27F5"/>
    <w:rsid w:val="003F49E9"/>
    <w:rsid w:val="0042353B"/>
    <w:rsid w:val="004271D8"/>
    <w:rsid w:val="004319A3"/>
    <w:rsid w:val="004411F0"/>
    <w:rsid w:val="00446706"/>
    <w:rsid w:val="004575C5"/>
    <w:rsid w:val="00471F9C"/>
    <w:rsid w:val="004947AA"/>
    <w:rsid w:val="00496017"/>
    <w:rsid w:val="00496A3C"/>
    <w:rsid w:val="00555B03"/>
    <w:rsid w:val="0056650E"/>
    <w:rsid w:val="00594D59"/>
    <w:rsid w:val="0060143E"/>
    <w:rsid w:val="00604B1A"/>
    <w:rsid w:val="006564BE"/>
    <w:rsid w:val="00660176"/>
    <w:rsid w:val="0068239A"/>
    <w:rsid w:val="006954D4"/>
    <w:rsid w:val="006A1FCE"/>
    <w:rsid w:val="006B3916"/>
    <w:rsid w:val="006B676C"/>
    <w:rsid w:val="006E5804"/>
    <w:rsid w:val="006F1491"/>
    <w:rsid w:val="00700D41"/>
    <w:rsid w:val="0072248E"/>
    <w:rsid w:val="007418E1"/>
    <w:rsid w:val="00781492"/>
    <w:rsid w:val="007A2D59"/>
    <w:rsid w:val="007B0871"/>
    <w:rsid w:val="00814A3E"/>
    <w:rsid w:val="00830BBB"/>
    <w:rsid w:val="00843E0A"/>
    <w:rsid w:val="008644E6"/>
    <w:rsid w:val="00875D96"/>
    <w:rsid w:val="008C4148"/>
    <w:rsid w:val="00953496"/>
    <w:rsid w:val="00954D76"/>
    <w:rsid w:val="00990479"/>
    <w:rsid w:val="009A491F"/>
    <w:rsid w:val="009D7F9A"/>
    <w:rsid w:val="009F1311"/>
    <w:rsid w:val="00A33712"/>
    <w:rsid w:val="00A55EB0"/>
    <w:rsid w:val="00A874CD"/>
    <w:rsid w:val="00AA2A14"/>
    <w:rsid w:val="00AB3C88"/>
    <w:rsid w:val="00B11B04"/>
    <w:rsid w:val="00B266B4"/>
    <w:rsid w:val="00B267BA"/>
    <w:rsid w:val="00B34B86"/>
    <w:rsid w:val="00B40CE5"/>
    <w:rsid w:val="00B4162E"/>
    <w:rsid w:val="00B520D2"/>
    <w:rsid w:val="00B52BCB"/>
    <w:rsid w:val="00B768AF"/>
    <w:rsid w:val="00B8660F"/>
    <w:rsid w:val="00BA2803"/>
    <w:rsid w:val="00BA541F"/>
    <w:rsid w:val="00BC34FC"/>
    <w:rsid w:val="00BC65F1"/>
    <w:rsid w:val="00BE2440"/>
    <w:rsid w:val="00BE4E4B"/>
    <w:rsid w:val="00C01000"/>
    <w:rsid w:val="00C20438"/>
    <w:rsid w:val="00C306D1"/>
    <w:rsid w:val="00C31984"/>
    <w:rsid w:val="00C3713D"/>
    <w:rsid w:val="00C5318A"/>
    <w:rsid w:val="00C749F2"/>
    <w:rsid w:val="00C80AB4"/>
    <w:rsid w:val="00C918E7"/>
    <w:rsid w:val="00CA4C22"/>
    <w:rsid w:val="00CD333B"/>
    <w:rsid w:val="00CF7388"/>
    <w:rsid w:val="00D0163B"/>
    <w:rsid w:val="00D02FAA"/>
    <w:rsid w:val="00D22615"/>
    <w:rsid w:val="00D42490"/>
    <w:rsid w:val="00D45DE2"/>
    <w:rsid w:val="00D75962"/>
    <w:rsid w:val="00D7667B"/>
    <w:rsid w:val="00D91493"/>
    <w:rsid w:val="00DA691F"/>
    <w:rsid w:val="00DB210C"/>
    <w:rsid w:val="00DC63C0"/>
    <w:rsid w:val="00DF2830"/>
    <w:rsid w:val="00DF5316"/>
    <w:rsid w:val="00DF6EA5"/>
    <w:rsid w:val="00E03182"/>
    <w:rsid w:val="00E119A0"/>
    <w:rsid w:val="00E523EB"/>
    <w:rsid w:val="00E550E7"/>
    <w:rsid w:val="00E57914"/>
    <w:rsid w:val="00E67B4A"/>
    <w:rsid w:val="00EC572F"/>
    <w:rsid w:val="00ED75E3"/>
    <w:rsid w:val="00EE2569"/>
    <w:rsid w:val="00F0102A"/>
    <w:rsid w:val="00F401B4"/>
    <w:rsid w:val="00F80426"/>
    <w:rsid w:val="00FF1F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E587BF"/>
  <w15:docId w15:val="{20B4C035-25C2-BD4C-838D-C59C298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3259BB"/>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953496"/>
    <w:pPr>
      <w:keepNext/>
      <w:keepLines/>
      <w:spacing w:before="200" w:after="0"/>
      <w:outlineLvl w:val="2"/>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3259BB"/>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53496"/>
    <w:pPr>
      <w:tabs>
        <w:tab w:val="right" w:leader="dot" w:pos="9016"/>
      </w:tabs>
      <w:spacing w:after="100"/>
    </w:pPr>
    <w:rPr>
      <w:rFonts w:asciiTheme="minorHAnsi" w:hAnsiTheme="minorHAnsi"/>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953496"/>
    <w:rPr>
      <w:rFonts w:eastAsiaTheme="majorEastAsia" w:cstheme="majorBidi"/>
      <w:b/>
      <w:bCs/>
      <w:sz w:val="28"/>
      <w:szCs w:val="28"/>
    </w:rPr>
  </w:style>
  <w:style w:type="paragraph" w:styleId="TOC3">
    <w:name w:val="toc 3"/>
    <w:basedOn w:val="Normal"/>
    <w:next w:val="Normal"/>
    <w:autoRedefine/>
    <w:uiPriority w:val="39"/>
    <w:unhideWhenUsed/>
    <w:rsid w:val="008644E6"/>
    <w:pPr>
      <w:spacing w:after="100"/>
      <w:ind w:left="480"/>
    </w:pPr>
  </w:style>
  <w:style w:type="paragraph" w:styleId="FootnoteText">
    <w:name w:val="footnote text"/>
    <w:basedOn w:val="Normal"/>
    <w:link w:val="FootnoteTextChar"/>
    <w:uiPriority w:val="99"/>
    <w:unhideWhenUsed/>
    <w:rsid w:val="002E31CF"/>
    <w:pPr>
      <w:spacing w:after="0" w:line="240" w:lineRule="auto"/>
    </w:pPr>
    <w:rPr>
      <w:szCs w:val="24"/>
    </w:rPr>
  </w:style>
  <w:style w:type="character" w:customStyle="1" w:styleId="FootnoteTextChar">
    <w:name w:val="Footnote Text Char"/>
    <w:basedOn w:val="DefaultParagraphFont"/>
    <w:link w:val="FootnoteText"/>
    <w:uiPriority w:val="99"/>
    <w:rsid w:val="002E31CF"/>
    <w:rPr>
      <w:rFonts w:ascii="Arial" w:hAnsi="Arial"/>
      <w:sz w:val="24"/>
      <w:szCs w:val="24"/>
    </w:rPr>
  </w:style>
  <w:style w:type="character" w:styleId="FootnoteReference">
    <w:name w:val="footnote reference"/>
    <w:basedOn w:val="DefaultParagraphFont"/>
    <w:uiPriority w:val="99"/>
    <w:unhideWhenUsed/>
    <w:rsid w:val="002E31CF"/>
    <w:rPr>
      <w:vertAlign w:val="superscript"/>
    </w:rPr>
  </w:style>
  <w:style w:type="paragraph" w:styleId="NoSpacing">
    <w:name w:val="No Spacing"/>
    <w:uiPriority w:val="1"/>
    <w:qFormat/>
    <w:rsid w:val="007418E1"/>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3E2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1328">
      <w:bodyDiv w:val="1"/>
      <w:marLeft w:val="0"/>
      <w:marRight w:val="0"/>
      <w:marTop w:val="0"/>
      <w:marBottom w:val="0"/>
      <w:divBdr>
        <w:top w:val="none" w:sz="0" w:space="0" w:color="auto"/>
        <w:left w:val="none" w:sz="0" w:space="0" w:color="auto"/>
        <w:bottom w:val="none" w:sz="0" w:space="0" w:color="auto"/>
        <w:right w:val="none" w:sz="0" w:space="0" w:color="auto"/>
      </w:divBdr>
    </w:div>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5781">
      <w:bodyDiv w:val="1"/>
      <w:marLeft w:val="0"/>
      <w:marRight w:val="0"/>
      <w:marTop w:val="0"/>
      <w:marBottom w:val="0"/>
      <w:divBdr>
        <w:top w:val="none" w:sz="0" w:space="0" w:color="auto"/>
        <w:left w:val="none" w:sz="0" w:space="0" w:color="auto"/>
        <w:bottom w:val="none" w:sz="0" w:space="0" w:color="auto"/>
        <w:right w:val="none" w:sz="0" w:space="0" w:color="auto"/>
      </w:divBdr>
    </w:div>
    <w:div w:id="814104085">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38779">
      <w:bodyDiv w:val="1"/>
      <w:marLeft w:val="0"/>
      <w:marRight w:val="0"/>
      <w:marTop w:val="0"/>
      <w:marBottom w:val="0"/>
      <w:divBdr>
        <w:top w:val="none" w:sz="0" w:space="0" w:color="auto"/>
        <w:left w:val="none" w:sz="0" w:space="0" w:color="auto"/>
        <w:bottom w:val="none" w:sz="0" w:space="0" w:color="auto"/>
        <w:right w:val="none" w:sz="0" w:space="0" w:color="auto"/>
      </w:divBdr>
    </w:div>
    <w:div w:id="1201936189">
      <w:bodyDiv w:val="1"/>
      <w:marLeft w:val="0"/>
      <w:marRight w:val="0"/>
      <w:marTop w:val="0"/>
      <w:marBottom w:val="0"/>
      <w:divBdr>
        <w:top w:val="none" w:sz="0" w:space="0" w:color="auto"/>
        <w:left w:val="none" w:sz="0" w:space="0" w:color="auto"/>
        <w:bottom w:val="none" w:sz="0" w:space="0" w:color="auto"/>
        <w:right w:val="none" w:sz="0" w:space="0" w:color="auto"/>
      </w:divBdr>
    </w:div>
    <w:div w:id="1278297520">
      <w:bodyDiv w:val="1"/>
      <w:marLeft w:val="0"/>
      <w:marRight w:val="0"/>
      <w:marTop w:val="0"/>
      <w:marBottom w:val="0"/>
      <w:divBdr>
        <w:top w:val="none" w:sz="0" w:space="0" w:color="auto"/>
        <w:left w:val="none" w:sz="0" w:space="0" w:color="auto"/>
        <w:bottom w:val="none" w:sz="0" w:space="0" w:color="auto"/>
        <w:right w:val="none" w:sz="0" w:space="0" w:color="auto"/>
      </w:divBdr>
    </w:div>
    <w:div w:id="141898774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61950">
      <w:bodyDiv w:val="1"/>
      <w:marLeft w:val="0"/>
      <w:marRight w:val="0"/>
      <w:marTop w:val="0"/>
      <w:marBottom w:val="0"/>
      <w:divBdr>
        <w:top w:val="none" w:sz="0" w:space="0" w:color="auto"/>
        <w:left w:val="none" w:sz="0" w:space="0" w:color="auto"/>
        <w:bottom w:val="none" w:sz="0" w:space="0" w:color="auto"/>
        <w:right w:val="none" w:sz="0" w:space="0" w:color="auto"/>
      </w:divBdr>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45785">
      <w:bodyDiv w:val="1"/>
      <w:marLeft w:val="0"/>
      <w:marRight w:val="0"/>
      <w:marTop w:val="0"/>
      <w:marBottom w:val="0"/>
      <w:divBdr>
        <w:top w:val="none" w:sz="0" w:space="0" w:color="auto"/>
        <w:left w:val="none" w:sz="0" w:space="0" w:color="auto"/>
        <w:bottom w:val="none" w:sz="0" w:space="0" w:color="auto"/>
        <w:right w:val="none" w:sz="0" w:space="0" w:color="auto"/>
      </w:divBdr>
    </w:div>
    <w:div w:id="1700744028">
      <w:bodyDiv w:val="1"/>
      <w:marLeft w:val="0"/>
      <w:marRight w:val="0"/>
      <w:marTop w:val="0"/>
      <w:marBottom w:val="0"/>
      <w:divBdr>
        <w:top w:val="none" w:sz="0" w:space="0" w:color="auto"/>
        <w:left w:val="none" w:sz="0" w:space="0" w:color="auto"/>
        <w:bottom w:val="none" w:sz="0" w:space="0" w:color="auto"/>
        <w:right w:val="none" w:sz="0" w:space="0" w:color="auto"/>
      </w:divBdr>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4D44-DAC2-9D47-986B-E4432CB6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10</cp:revision>
  <cp:lastPrinted>2015-04-21T02:31:00Z</cp:lastPrinted>
  <dcterms:created xsi:type="dcterms:W3CDTF">2020-02-24T21:31:00Z</dcterms:created>
  <dcterms:modified xsi:type="dcterms:W3CDTF">2020-03-02T22:22:00Z</dcterms:modified>
  <cp:category/>
</cp:coreProperties>
</file>